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1C" w:rsidRDefault="006E1A1C">
      <w:pPr>
        <w:jc w:val="center"/>
        <w:rPr>
          <w:rtl/>
        </w:rPr>
      </w:pPr>
      <w:bookmarkStart w:id="0" w:name="LastJudge"/>
      <w:r>
        <w:rPr>
          <w:rFonts w:hint="cs"/>
          <w:b/>
          <w:bCs/>
          <w:szCs w:val="32"/>
          <w:rtl/>
        </w:rPr>
        <w:t>בתי המשפט</w:t>
      </w:r>
      <w:r>
        <w:rPr>
          <w:rFonts w:hint="cs"/>
          <w:rtl/>
        </w:rPr>
        <w:t xml:space="preserve"> </w:t>
      </w:r>
    </w:p>
    <w:tbl>
      <w:tblPr>
        <w:bidiVisual/>
        <w:tblW w:w="8648" w:type="dxa"/>
        <w:tblBorders>
          <w:top w:val="single" w:sz="4" w:space="0" w:color="auto"/>
          <w:left w:val="single" w:sz="4" w:space="0" w:color="auto"/>
          <w:bottom w:val="single" w:sz="4" w:space="0" w:color="auto"/>
          <w:right w:val="single" w:sz="4" w:space="0" w:color="auto"/>
        </w:tblBorders>
        <w:tblLook w:val="0000"/>
      </w:tblPr>
      <w:tblGrid>
        <w:gridCol w:w="771"/>
        <w:gridCol w:w="600"/>
        <w:gridCol w:w="4104"/>
        <w:gridCol w:w="748"/>
        <w:gridCol w:w="251"/>
        <w:gridCol w:w="2105"/>
        <w:gridCol w:w="69"/>
      </w:tblGrid>
      <w:tr w:rsidR="00531C3C" w:rsidTr="00531C3C">
        <w:trPr>
          <w:gridAfter w:val="1"/>
          <w:cantSplit/>
          <w:trHeight w:val="195"/>
        </w:trPr>
        <w:tc>
          <w:tcPr>
            <w:tcW w:w="5439" w:type="dxa"/>
            <w:gridSpan w:val="3"/>
            <w:vMerge w:val="restart"/>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בית משפט מחוזי חיפה</w:t>
            </w:r>
          </w:p>
        </w:tc>
        <w:tc>
          <w:tcPr>
            <w:tcW w:w="3083" w:type="dxa"/>
            <w:gridSpan w:val="3"/>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בשא 011352/03</w:t>
            </w:r>
          </w:p>
        </w:tc>
      </w:tr>
      <w:tr w:rsidR="00531C3C" w:rsidTr="00531C3C">
        <w:trPr>
          <w:gridAfter w:val="1"/>
          <w:cantSplit/>
          <w:trHeight w:val="195"/>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531C3C" w:rsidRDefault="00531C3C">
            <w:pPr>
              <w:bidi w:val="0"/>
              <w:spacing w:line="240" w:lineRule="auto"/>
              <w:jc w:val="left"/>
              <w:rPr>
                <w:b/>
                <w:bCs/>
                <w:sz w:val="24"/>
              </w:rPr>
            </w:pPr>
          </w:p>
        </w:tc>
        <w:tc>
          <w:tcPr>
            <w:tcW w:w="3083" w:type="dxa"/>
            <w:gridSpan w:val="3"/>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בתיק עיקרי: א 000461/03</w:t>
            </w:r>
          </w:p>
        </w:tc>
      </w:tr>
      <w:tr w:rsidR="00531C3C" w:rsidTr="00531C3C">
        <w:trPr>
          <w:gridAfter w:val="1"/>
          <w:trHeight w:val="286"/>
        </w:trPr>
        <w:tc>
          <w:tcPr>
            <w:tcW w:w="766" w:type="dxa"/>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בפני:</w:t>
            </w:r>
          </w:p>
        </w:tc>
        <w:tc>
          <w:tcPr>
            <w:tcW w:w="4673" w:type="dxa"/>
            <w:gridSpan w:val="2"/>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כב' השופט רון סוקול</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1C3C" w:rsidRDefault="00531C3C">
            <w:pPr>
              <w:rPr>
                <w:b/>
                <w:bCs/>
                <w:sz w:val="24"/>
              </w:rPr>
            </w:pPr>
            <w:r>
              <w:rPr>
                <w:rFonts w:hint="cs"/>
                <w:b/>
                <w:bCs/>
                <w:sz w:val="24"/>
                <w:rtl/>
              </w:rPr>
              <w:t>תאריך:</w:t>
            </w:r>
          </w:p>
        </w:tc>
        <w:tc>
          <w:tcPr>
            <w:tcW w:w="2091" w:type="dxa"/>
            <w:tcBorders>
              <w:top w:val="single" w:sz="4" w:space="0" w:color="auto"/>
              <w:left w:val="single" w:sz="4" w:space="0" w:color="auto"/>
              <w:bottom w:val="single" w:sz="4" w:space="0" w:color="auto"/>
              <w:right w:val="single" w:sz="4" w:space="0" w:color="auto"/>
            </w:tcBorders>
          </w:tcPr>
          <w:p w:rsidR="00531C3C" w:rsidRDefault="00531C3C">
            <w:pPr>
              <w:rPr>
                <w:b/>
                <w:bCs/>
                <w:sz w:val="24"/>
              </w:rPr>
            </w:pPr>
            <w:r>
              <w:rPr>
                <w:rFonts w:hint="cs"/>
                <w:b/>
                <w:bCs/>
                <w:sz w:val="24"/>
                <w:rtl/>
              </w:rPr>
              <w:t>19/11/2003</w:t>
            </w:r>
          </w:p>
        </w:tc>
      </w:tr>
      <w:tr w:rsidR="00531C3C" w:rsidTr="00531C3C">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362" w:type="dxa"/>
            <w:gridSpan w:val="2"/>
          </w:tcPr>
          <w:p w:rsidR="00531C3C" w:rsidRDefault="00531C3C">
            <w:pPr>
              <w:pStyle w:val="a"/>
              <w:rPr>
                <w:szCs w:val="26"/>
              </w:rPr>
            </w:pPr>
            <w:bookmarkStart w:id="1" w:name="שם_א" w:colFirst="1" w:colLast="1"/>
            <w:bookmarkStart w:id="2" w:name="FirstAppellant" w:colFirst="1" w:colLast="2"/>
            <w:bookmarkStart w:id="3" w:name="FirstLawyer"/>
            <w:r>
              <w:rPr>
                <w:rFonts w:hint="cs"/>
                <w:rtl/>
              </w:rPr>
              <w:t>בעניין:</w:t>
            </w:r>
          </w:p>
        </w:tc>
        <w:tc>
          <w:tcPr>
            <w:tcW w:w="4820" w:type="dxa"/>
            <w:gridSpan w:val="2"/>
          </w:tcPr>
          <w:p w:rsidR="00531C3C" w:rsidRDefault="00531C3C">
            <w:pPr>
              <w:pStyle w:val="a"/>
            </w:pPr>
            <w:r>
              <w:rPr>
                <w:rFonts w:hint="cs"/>
                <w:rtl/>
              </w:rPr>
              <w:t>קנקדו בע"מ</w:t>
            </w:r>
          </w:p>
          <w:p w:rsidR="00531C3C" w:rsidRDefault="00531C3C">
            <w:pPr>
              <w:pStyle w:val="a"/>
            </w:pPr>
            <w:r>
              <w:rPr>
                <w:rFonts w:hint="cs"/>
                <w:b w:val="0"/>
                <w:bCs w:val="0"/>
                <w:szCs w:val="22"/>
                <w:rtl/>
              </w:rPr>
              <w:t>ע"י ב"כ עוה"ד גרוס</w:t>
            </w:r>
          </w:p>
        </w:tc>
        <w:tc>
          <w:tcPr>
            <w:tcW w:w="2409" w:type="dxa"/>
            <w:gridSpan w:val="3"/>
          </w:tcPr>
          <w:p w:rsidR="00531C3C" w:rsidRDefault="00531C3C">
            <w:pPr>
              <w:pStyle w:val="a"/>
            </w:pPr>
          </w:p>
          <w:p w:rsidR="00531C3C" w:rsidRDefault="00531C3C">
            <w:pPr>
              <w:pStyle w:val="a"/>
            </w:pPr>
            <w:r>
              <w:rPr>
                <w:rFonts w:hint="cs"/>
                <w:rtl/>
              </w:rPr>
              <w:t>המבקשת</w:t>
            </w:r>
          </w:p>
        </w:tc>
      </w:tr>
      <w:bookmarkEnd w:id="1"/>
      <w:bookmarkEnd w:id="3"/>
      <w:tr w:rsidR="00531C3C" w:rsidTr="00531C3C">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362" w:type="dxa"/>
            <w:gridSpan w:val="2"/>
          </w:tcPr>
          <w:p w:rsidR="00531C3C" w:rsidRDefault="00531C3C">
            <w:pPr>
              <w:pStyle w:val="a"/>
              <w:spacing w:line="240" w:lineRule="auto"/>
            </w:pPr>
          </w:p>
        </w:tc>
        <w:tc>
          <w:tcPr>
            <w:tcW w:w="4820" w:type="dxa"/>
            <w:gridSpan w:val="2"/>
          </w:tcPr>
          <w:p w:rsidR="00531C3C" w:rsidRDefault="00531C3C">
            <w:pPr>
              <w:pStyle w:val="a"/>
              <w:spacing w:line="240" w:lineRule="auto"/>
              <w:jc w:val="center"/>
              <w:rPr>
                <w:sz w:val="28"/>
                <w:szCs w:val="28"/>
              </w:rPr>
            </w:pPr>
          </w:p>
          <w:p w:rsidR="00531C3C" w:rsidRDefault="00531C3C">
            <w:pPr>
              <w:pStyle w:val="a"/>
              <w:spacing w:line="240" w:lineRule="auto"/>
              <w:jc w:val="center"/>
              <w:rPr>
                <w:rFonts w:hint="cs"/>
                <w:sz w:val="28"/>
                <w:szCs w:val="28"/>
                <w:rtl/>
              </w:rPr>
            </w:pPr>
            <w:r>
              <w:rPr>
                <w:rFonts w:hint="cs"/>
                <w:sz w:val="28"/>
                <w:szCs w:val="28"/>
                <w:rtl/>
              </w:rPr>
              <w:t>נ  ג  ד</w:t>
            </w:r>
          </w:p>
          <w:p w:rsidR="00531C3C" w:rsidRDefault="00531C3C">
            <w:pPr>
              <w:pStyle w:val="a"/>
              <w:spacing w:line="240" w:lineRule="auto"/>
              <w:jc w:val="center"/>
              <w:rPr>
                <w:sz w:val="28"/>
                <w:szCs w:val="28"/>
              </w:rPr>
            </w:pPr>
          </w:p>
        </w:tc>
        <w:tc>
          <w:tcPr>
            <w:tcW w:w="2409" w:type="dxa"/>
            <w:gridSpan w:val="3"/>
          </w:tcPr>
          <w:p w:rsidR="00531C3C" w:rsidRDefault="00531C3C">
            <w:pPr>
              <w:pStyle w:val="a"/>
              <w:spacing w:line="240" w:lineRule="auto"/>
            </w:pPr>
          </w:p>
        </w:tc>
      </w:tr>
      <w:tr w:rsidR="00531C3C" w:rsidTr="00531C3C">
        <w:tblPrEx>
          <w:tblBorders>
            <w:top w:val="none" w:sz="0" w:space="0" w:color="auto"/>
            <w:left w:val="none" w:sz="0" w:space="0" w:color="auto"/>
            <w:bottom w:val="none" w:sz="0" w:space="0" w:color="auto"/>
            <w:right w:val="none" w:sz="0" w:space="0" w:color="auto"/>
          </w:tblBorders>
          <w:tblCellMar>
            <w:left w:w="107" w:type="dxa"/>
            <w:right w:w="107" w:type="dxa"/>
          </w:tblCellMar>
        </w:tblPrEx>
        <w:tc>
          <w:tcPr>
            <w:tcW w:w="1362" w:type="dxa"/>
            <w:gridSpan w:val="2"/>
          </w:tcPr>
          <w:p w:rsidR="00531C3C" w:rsidRDefault="00531C3C">
            <w:pPr>
              <w:pStyle w:val="a"/>
              <w:rPr>
                <w:szCs w:val="26"/>
              </w:rPr>
            </w:pPr>
            <w:bookmarkStart w:id="4" w:name="שם_ב" w:colFirst="1" w:colLast="1"/>
            <w:bookmarkEnd w:id="2"/>
          </w:p>
        </w:tc>
        <w:tc>
          <w:tcPr>
            <w:tcW w:w="4820" w:type="dxa"/>
            <w:gridSpan w:val="2"/>
          </w:tcPr>
          <w:p w:rsidR="00531C3C" w:rsidRDefault="00531C3C">
            <w:pPr>
              <w:pStyle w:val="a"/>
            </w:pPr>
            <w:r>
              <w:rPr>
                <w:rFonts w:hint="cs"/>
                <w:rtl/>
              </w:rPr>
              <w:t>1. גילה אבן - פז</w:t>
            </w:r>
          </w:p>
          <w:p w:rsidR="00531C3C" w:rsidRDefault="00531C3C">
            <w:pPr>
              <w:pStyle w:val="a"/>
              <w:rPr>
                <w:rFonts w:hint="cs"/>
                <w:rtl/>
              </w:rPr>
            </w:pPr>
            <w:r>
              <w:rPr>
                <w:rFonts w:hint="cs"/>
                <w:rtl/>
              </w:rPr>
              <w:t>2. נטע אבן - פז</w:t>
            </w:r>
          </w:p>
          <w:p w:rsidR="00531C3C" w:rsidRDefault="00531C3C">
            <w:pPr>
              <w:pStyle w:val="a"/>
              <w:rPr>
                <w:rFonts w:hint="cs"/>
                <w:rtl/>
              </w:rPr>
            </w:pPr>
            <w:r>
              <w:rPr>
                <w:rFonts w:hint="cs"/>
                <w:rtl/>
              </w:rPr>
              <w:t>3. לילך אבן - פז</w:t>
            </w:r>
          </w:p>
          <w:p w:rsidR="00531C3C" w:rsidRDefault="00531C3C">
            <w:pPr>
              <w:pStyle w:val="a"/>
              <w:rPr>
                <w:rFonts w:hint="cs"/>
                <w:rtl/>
              </w:rPr>
            </w:pPr>
            <w:r>
              <w:rPr>
                <w:rFonts w:hint="cs"/>
                <w:rtl/>
              </w:rPr>
              <w:t>4. נעמה אבן – פז</w:t>
            </w:r>
          </w:p>
          <w:p w:rsidR="00531C3C" w:rsidRDefault="00531C3C">
            <w:pPr>
              <w:pStyle w:val="a"/>
              <w:rPr>
                <w:rFonts w:hint="cs"/>
                <w:rtl/>
              </w:rPr>
            </w:pPr>
            <w:r>
              <w:rPr>
                <w:rFonts w:hint="cs"/>
                <w:rtl/>
              </w:rPr>
              <w:t>5. זיוה אבן – פז</w:t>
            </w:r>
          </w:p>
          <w:p w:rsidR="00531C3C" w:rsidRDefault="00531C3C">
            <w:pPr>
              <w:pStyle w:val="a"/>
            </w:pPr>
            <w:r>
              <w:rPr>
                <w:rFonts w:hint="cs"/>
                <w:b w:val="0"/>
                <w:bCs w:val="0"/>
                <w:szCs w:val="22"/>
                <w:rtl/>
              </w:rPr>
              <w:t>ע"י ב"כ עוה"ד רחבי</w:t>
            </w:r>
          </w:p>
        </w:tc>
        <w:tc>
          <w:tcPr>
            <w:tcW w:w="2409" w:type="dxa"/>
            <w:gridSpan w:val="3"/>
          </w:tcPr>
          <w:p w:rsidR="00531C3C" w:rsidRDefault="00531C3C">
            <w:pPr>
              <w:pStyle w:val="a"/>
              <w:rPr>
                <w:rFonts w:hint="cs"/>
                <w:rtl/>
              </w:rPr>
            </w:pPr>
          </w:p>
          <w:p w:rsidR="00531C3C" w:rsidRDefault="00531C3C">
            <w:pPr>
              <w:pStyle w:val="a"/>
              <w:rPr>
                <w:rFonts w:hint="cs"/>
                <w:rtl/>
              </w:rPr>
            </w:pPr>
          </w:p>
          <w:p w:rsidR="00531C3C" w:rsidRDefault="00531C3C">
            <w:pPr>
              <w:pStyle w:val="a"/>
              <w:rPr>
                <w:rFonts w:hint="cs"/>
                <w:rtl/>
              </w:rPr>
            </w:pPr>
          </w:p>
          <w:p w:rsidR="00531C3C" w:rsidRDefault="00531C3C">
            <w:pPr>
              <w:pStyle w:val="a"/>
              <w:rPr>
                <w:rFonts w:hint="cs"/>
                <w:rtl/>
              </w:rPr>
            </w:pPr>
          </w:p>
          <w:p w:rsidR="00531C3C" w:rsidRDefault="00531C3C">
            <w:pPr>
              <w:pStyle w:val="a"/>
            </w:pPr>
            <w:r>
              <w:rPr>
                <w:rFonts w:hint="cs"/>
                <w:rtl/>
              </w:rPr>
              <w:t>המשיבות</w:t>
            </w:r>
          </w:p>
        </w:tc>
      </w:tr>
    </w:tbl>
    <w:p w:rsidR="007A5AAE" w:rsidRDefault="007A5AAE" w:rsidP="007A5AAE">
      <w:pPr>
        <w:pStyle w:val="Heading1"/>
        <w:jc w:val="left"/>
        <w:rPr>
          <w:b w:val="0"/>
          <w:bCs w:val="0"/>
          <w:sz w:val="26"/>
          <w:szCs w:val="28"/>
          <w:u w:val="none"/>
          <w:rtl/>
        </w:rPr>
      </w:pPr>
      <w:bookmarkStart w:id="5" w:name="סוג_מסמך"/>
      <w:bookmarkStart w:id="6" w:name="Links_Start"/>
      <w:bookmarkEnd w:id="4"/>
    </w:p>
    <w:p w:rsidR="007A5AAE" w:rsidRPr="007A5AAE" w:rsidRDefault="007A5AAE" w:rsidP="00F421FA">
      <w:pPr>
        <w:pStyle w:val="Heading1"/>
        <w:pBdr>
          <w:top w:val="single" w:sz="4" w:space="0" w:color="auto"/>
          <w:left w:val="single" w:sz="4" w:space="0" w:color="auto"/>
          <w:bottom w:val="single" w:sz="4" w:space="0" w:color="auto"/>
          <w:right w:val="single" w:sz="4" w:space="0" w:color="auto"/>
        </w:pBdr>
        <w:spacing w:line="240" w:lineRule="exact"/>
        <w:ind w:left="284" w:hanging="284"/>
        <w:jc w:val="both"/>
        <w:rPr>
          <w:rFonts w:ascii="FrankRuehl" w:hAnsi="FrankRuehl" w:cs="FrankRuehl"/>
          <w:b w:val="0"/>
          <w:bCs w:val="0"/>
          <w:sz w:val="24"/>
          <w:szCs w:val="24"/>
          <w:u w:val="none"/>
          <w:rtl/>
        </w:rPr>
      </w:pPr>
      <w:r w:rsidRPr="007A5AAE">
        <w:rPr>
          <w:rFonts w:ascii="FrankRuehl" w:hAnsi="FrankRuehl" w:cs="FrankRuehl"/>
          <w:b w:val="0"/>
          <w:bCs w:val="0"/>
          <w:sz w:val="24"/>
          <w:szCs w:val="24"/>
          <w:u w:val="none"/>
          <w:rtl/>
        </w:rPr>
        <w:t xml:space="preserve">להחלטה במחוזי (16-04-2004): </w:t>
      </w:r>
      <w:hyperlink r:id="rId6" w:history="1">
        <w:r w:rsidRPr="007A5AAE">
          <w:rPr>
            <w:rStyle w:val="Hyperlink"/>
            <w:rFonts w:ascii="FrankRuehl" w:hAnsi="FrankRuehl" w:cs="FrankRuehl"/>
            <w:b w:val="0"/>
            <w:bCs w:val="0"/>
            <w:sz w:val="24"/>
            <w:szCs w:val="24"/>
            <w:rtl/>
          </w:rPr>
          <w:t>בשא 1302/04 אבן - פז גילה נ' קנדקו בע"מ</w:t>
        </w:r>
      </w:hyperlink>
      <w:r w:rsidRPr="007A5AAE">
        <w:rPr>
          <w:rFonts w:ascii="FrankRuehl" w:hAnsi="FrankRuehl" w:cs="FrankRuehl"/>
          <w:b w:val="0"/>
          <w:bCs w:val="0"/>
          <w:sz w:val="24"/>
          <w:szCs w:val="24"/>
          <w:u w:val="none"/>
          <w:rtl/>
        </w:rPr>
        <w:t xml:space="preserve"> שופטים: רון סוקול, עו"ד:  א. רחבי, י.גרוס </w:t>
      </w:r>
    </w:p>
    <w:p w:rsidR="007A5AAE" w:rsidRPr="007A5AAE" w:rsidRDefault="007A5AAE" w:rsidP="00F421FA">
      <w:pPr>
        <w:pStyle w:val="Heading1"/>
        <w:pBdr>
          <w:top w:val="single" w:sz="4" w:space="0" w:color="auto"/>
          <w:left w:val="single" w:sz="4" w:space="0" w:color="auto"/>
          <w:bottom w:val="single" w:sz="4" w:space="0" w:color="auto"/>
          <w:right w:val="single" w:sz="4" w:space="0" w:color="auto"/>
        </w:pBdr>
        <w:spacing w:line="240" w:lineRule="exact"/>
        <w:ind w:left="284" w:hanging="284"/>
        <w:jc w:val="both"/>
        <w:rPr>
          <w:rFonts w:ascii="FrankRuehl" w:hAnsi="FrankRuehl" w:cs="FrankRuehl"/>
          <w:b w:val="0"/>
          <w:bCs w:val="0"/>
          <w:sz w:val="24"/>
          <w:szCs w:val="24"/>
          <w:u w:val="none"/>
          <w:rtl/>
        </w:rPr>
      </w:pPr>
      <w:r w:rsidRPr="007A5AAE">
        <w:rPr>
          <w:rFonts w:ascii="FrankRuehl" w:hAnsi="FrankRuehl" w:cs="FrankRuehl"/>
          <w:b w:val="0"/>
          <w:bCs w:val="0"/>
          <w:sz w:val="24"/>
          <w:szCs w:val="24"/>
          <w:u w:val="none"/>
          <w:rtl/>
        </w:rPr>
        <w:t xml:space="preserve">להחלטה במחוזי (01-01-2006): </w:t>
      </w:r>
      <w:hyperlink r:id="rId7" w:history="1">
        <w:r w:rsidRPr="007A5AAE">
          <w:rPr>
            <w:rStyle w:val="Hyperlink"/>
            <w:rFonts w:ascii="FrankRuehl" w:hAnsi="FrankRuehl" w:cs="FrankRuehl"/>
            <w:b w:val="0"/>
            <w:bCs w:val="0"/>
            <w:sz w:val="24"/>
            <w:szCs w:val="24"/>
            <w:rtl/>
          </w:rPr>
          <w:t>בשא 9162/05 קנדקו בע"מ נ' אבן - פז גילה</w:t>
        </w:r>
      </w:hyperlink>
      <w:r w:rsidRPr="007A5AAE">
        <w:rPr>
          <w:rFonts w:ascii="FrankRuehl" w:hAnsi="FrankRuehl" w:cs="FrankRuehl"/>
          <w:b w:val="0"/>
          <w:bCs w:val="0"/>
          <w:sz w:val="24"/>
          <w:szCs w:val="24"/>
          <w:u w:val="none"/>
          <w:rtl/>
        </w:rPr>
        <w:t xml:space="preserve"> שופטים: יעל וילנר, עו"ד: ע. ברק, אופיר רחבי, שלום בנישו </w:t>
      </w:r>
    </w:p>
    <w:p w:rsidR="007A5AAE" w:rsidRPr="007A5AAE" w:rsidRDefault="007A5AAE" w:rsidP="00F421FA">
      <w:pPr>
        <w:pStyle w:val="Heading1"/>
        <w:pBdr>
          <w:top w:val="single" w:sz="4" w:space="0" w:color="auto"/>
          <w:left w:val="single" w:sz="4" w:space="0" w:color="auto"/>
          <w:bottom w:val="single" w:sz="4" w:space="0" w:color="auto"/>
          <w:right w:val="single" w:sz="4" w:space="0" w:color="auto"/>
        </w:pBdr>
        <w:spacing w:line="240" w:lineRule="exact"/>
        <w:ind w:left="284" w:hanging="284"/>
        <w:jc w:val="both"/>
        <w:rPr>
          <w:rFonts w:ascii="FrankRuehl" w:hAnsi="FrankRuehl" w:cs="FrankRuehl"/>
          <w:b w:val="0"/>
          <w:bCs w:val="0"/>
          <w:sz w:val="24"/>
          <w:szCs w:val="24"/>
          <w:u w:val="none"/>
          <w:rtl/>
        </w:rPr>
      </w:pPr>
      <w:r w:rsidRPr="007A5AAE">
        <w:rPr>
          <w:rFonts w:ascii="FrankRuehl" w:hAnsi="FrankRuehl" w:cs="FrankRuehl"/>
          <w:b w:val="0"/>
          <w:bCs w:val="0"/>
          <w:sz w:val="24"/>
          <w:szCs w:val="24"/>
          <w:u w:val="none"/>
          <w:rtl/>
        </w:rPr>
        <w:t xml:space="preserve">להחלטה במחוזי (08-08-2007): </w:t>
      </w:r>
      <w:hyperlink r:id="rId8" w:history="1">
        <w:r w:rsidRPr="007A5AAE">
          <w:rPr>
            <w:rStyle w:val="Hyperlink"/>
            <w:rFonts w:ascii="FrankRuehl" w:hAnsi="FrankRuehl" w:cs="FrankRuehl"/>
            <w:b w:val="0"/>
            <w:bCs w:val="0"/>
            <w:sz w:val="24"/>
            <w:szCs w:val="24"/>
            <w:rtl/>
          </w:rPr>
          <w:t>תא 461/03 קנדקו בע"מ נ' גילה אבן פז</w:t>
        </w:r>
      </w:hyperlink>
      <w:r w:rsidRPr="007A5AAE">
        <w:rPr>
          <w:rFonts w:ascii="FrankRuehl" w:hAnsi="FrankRuehl" w:cs="FrankRuehl"/>
          <w:b w:val="0"/>
          <w:bCs w:val="0"/>
          <w:sz w:val="24"/>
          <w:szCs w:val="24"/>
          <w:u w:val="none"/>
          <w:rtl/>
        </w:rPr>
        <w:t xml:space="preserve"> שופטים: עודד גרשון, עו"ד: עוזי ברק, רחבי אופיר </w:t>
      </w:r>
    </w:p>
    <w:p w:rsidR="007A5AAE" w:rsidRPr="007A5AAE" w:rsidRDefault="007A5AAE" w:rsidP="00F421FA">
      <w:pPr>
        <w:pStyle w:val="Heading1"/>
        <w:pBdr>
          <w:top w:val="single" w:sz="4" w:space="0" w:color="auto"/>
          <w:left w:val="single" w:sz="4" w:space="0" w:color="auto"/>
          <w:bottom w:val="single" w:sz="4" w:space="0" w:color="auto"/>
          <w:right w:val="single" w:sz="4" w:space="0" w:color="auto"/>
        </w:pBdr>
        <w:spacing w:line="240" w:lineRule="exact"/>
        <w:ind w:left="284" w:hanging="284"/>
        <w:jc w:val="both"/>
        <w:rPr>
          <w:rFonts w:ascii="FrankRuehl" w:hAnsi="FrankRuehl" w:cs="FrankRuehl"/>
          <w:b w:val="0"/>
          <w:bCs w:val="0"/>
          <w:sz w:val="24"/>
          <w:szCs w:val="24"/>
          <w:u w:val="none"/>
          <w:rtl/>
        </w:rPr>
      </w:pPr>
      <w:r w:rsidRPr="007A5AAE">
        <w:rPr>
          <w:rFonts w:ascii="FrankRuehl" w:hAnsi="FrankRuehl" w:cs="FrankRuehl"/>
          <w:b w:val="0"/>
          <w:bCs w:val="0"/>
          <w:sz w:val="24"/>
          <w:szCs w:val="24"/>
          <w:u w:val="none"/>
          <w:rtl/>
        </w:rPr>
        <w:t xml:space="preserve">להחלטה במחוזי (18-10-2007): </w:t>
      </w:r>
      <w:hyperlink r:id="rId9" w:history="1">
        <w:r w:rsidRPr="007A5AAE">
          <w:rPr>
            <w:rStyle w:val="Hyperlink"/>
            <w:rFonts w:ascii="FrankRuehl" w:hAnsi="FrankRuehl" w:cs="FrankRuehl"/>
            <w:b w:val="0"/>
            <w:bCs w:val="0"/>
            <w:sz w:val="24"/>
            <w:szCs w:val="24"/>
            <w:rtl/>
          </w:rPr>
          <w:t>תא 461/03 קנדקו בע"מ נ' גילה אבן פז</w:t>
        </w:r>
      </w:hyperlink>
      <w:r w:rsidRPr="007A5AAE">
        <w:rPr>
          <w:rFonts w:ascii="FrankRuehl" w:hAnsi="FrankRuehl" w:cs="FrankRuehl"/>
          <w:b w:val="0"/>
          <w:bCs w:val="0"/>
          <w:sz w:val="24"/>
          <w:szCs w:val="24"/>
          <w:u w:val="none"/>
          <w:rtl/>
        </w:rPr>
        <w:t xml:space="preserve"> שופטים: עודד גרשון, עו"ד: עוזי ברק, רחבי אופיר </w:t>
      </w:r>
    </w:p>
    <w:p w:rsidR="007A5AAE" w:rsidRPr="007A5AAE" w:rsidRDefault="007A5AAE" w:rsidP="00F421FA">
      <w:pPr>
        <w:pStyle w:val="Heading1"/>
        <w:pBdr>
          <w:top w:val="single" w:sz="4" w:space="0" w:color="auto"/>
          <w:left w:val="single" w:sz="4" w:space="0" w:color="auto"/>
          <w:bottom w:val="single" w:sz="4" w:space="0" w:color="auto"/>
          <w:right w:val="single" w:sz="4" w:space="0" w:color="auto"/>
        </w:pBdr>
        <w:spacing w:line="240" w:lineRule="exact"/>
        <w:ind w:left="284" w:hanging="284"/>
        <w:jc w:val="both"/>
        <w:rPr>
          <w:rFonts w:ascii="FrankRuehl" w:hAnsi="FrankRuehl" w:cs="FrankRuehl"/>
          <w:b w:val="0"/>
          <w:bCs w:val="0"/>
          <w:sz w:val="24"/>
          <w:szCs w:val="24"/>
          <w:u w:val="none"/>
          <w:rtl/>
        </w:rPr>
      </w:pPr>
      <w:r w:rsidRPr="007A5AAE">
        <w:rPr>
          <w:rFonts w:ascii="FrankRuehl" w:hAnsi="FrankRuehl" w:cs="FrankRuehl"/>
          <w:b w:val="0"/>
          <w:bCs w:val="0"/>
          <w:sz w:val="24"/>
          <w:szCs w:val="24"/>
          <w:u w:val="none"/>
          <w:rtl/>
        </w:rPr>
        <w:t xml:space="preserve">להחלטה במחוזי (23-08-2009): </w:t>
      </w:r>
      <w:hyperlink r:id="rId10" w:history="1">
        <w:r w:rsidRPr="007A5AAE">
          <w:rPr>
            <w:rStyle w:val="Hyperlink"/>
            <w:rFonts w:ascii="FrankRuehl" w:hAnsi="FrankRuehl" w:cs="FrankRuehl"/>
            <w:b w:val="0"/>
            <w:bCs w:val="0"/>
            <w:sz w:val="24"/>
            <w:szCs w:val="24"/>
            <w:rtl/>
          </w:rPr>
          <w:t>תא 461--03 קנדקו בע"מ נ' גילה אבן-פז</w:t>
        </w:r>
      </w:hyperlink>
      <w:r w:rsidRPr="007A5AAE">
        <w:rPr>
          <w:rFonts w:ascii="FrankRuehl" w:hAnsi="FrankRuehl" w:cs="FrankRuehl"/>
          <w:b w:val="0"/>
          <w:bCs w:val="0"/>
          <w:sz w:val="24"/>
          <w:szCs w:val="24"/>
          <w:u w:val="none"/>
          <w:rtl/>
        </w:rPr>
        <w:t xml:space="preserve"> שופטים: עודד גרשון, עו"ד: עוזי ברק, רחבי אופיר </w:t>
      </w:r>
    </w:p>
    <w:p w:rsidR="006E1A1C" w:rsidRDefault="006E1A1C">
      <w:pPr>
        <w:pStyle w:val="Heading1"/>
        <w:rPr>
          <w:b w:val="0"/>
          <w:bCs w:val="0"/>
          <w:sz w:val="26"/>
          <w:szCs w:val="28"/>
          <w:u w:val="none"/>
          <w:rtl/>
        </w:rPr>
      </w:pPr>
      <w:bookmarkStart w:id="7" w:name="Links_End"/>
      <w:bookmarkEnd w:id="7"/>
      <w:bookmarkEnd w:id="6"/>
    </w:p>
    <w:p w:rsidR="006E1A1C" w:rsidRDefault="006E1A1C">
      <w:pPr>
        <w:jc w:val="center"/>
        <w:rPr>
          <w:b/>
          <w:bCs/>
          <w:sz w:val="26"/>
          <w:szCs w:val="28"/>
          <w:u w:val="single"/>
          <w:rtl/>
        </w:rPr>
      </w:pPr>
      <w:bookmarkStart w:id="8" w:name="PsakDin"/>
      <w:bookmarkEnd w:id="0"/>
      <w:r>
        <w:rPr>
          <w:b/>
          <w:bCs/>
          <w:sz w:val="26"/>
          <w:szCs w:val="28"/>
          <w:u w:val="single"/>
          <w:rtl/>
        </w:rPr>
        <w:t>החלטה</w:t>
      </w:r>
    </w:p>
    <w:bookmarkEnd w:id="8"/>
    <w:p w:rsidR="006E1A1C" w:rsidRDefault="006E1A1C">
      <w:pPr>
        <w:ind w:left="720" w:hanging="720"/>
        <w:rPr>
          <w:rFonts w:hint="cs"/>
          <w:rtl/>
        </w:rPr>
      </w:pPr>
      <w:r>
        <w:rPr>
          <w:rFonts w:hint="cs"/>
          <w:rtl/>
        </w:rPr>
        <w:t>1.</w:t>
      </w:r>
      <w:r>
        <w:rPr>
          <w:rFonts w:hint="cs"/>
          <w:rtl/>
        </w:rPr>
        <w:tab/>
        <w:t>בי</w:t>
      </w:r>
      <w:bookmarkStart w:id="9" w:name="ABSTRACT_START"/>
      <w:bookmarkEnd w:id="9"/>
      <w:r>
        <w:rPr>
          <w:rFonts w:hint="cs"/>
          <w:rtl/>
        </w:rPr>
        <w:t>ום 1.5.03 הגישה המבקשת כתב תביעה כנגד המשיבה מס' 1 (להלן: "המשיבה") לתשלום סך של 2,754,142 ₪. בכתב התביעה נטען כי המשיבה עבדה כמנהלת מחלקת החשבונות של המבקשת, חברה העוסקת בהעסקת עובדים לרבות עובדים זרים</w:t>
      </w:r>
      <w:bookmarkStart w:id="10" w:name="ABSTRACT_END"/>
      <w:bookmarkEnd w:id="10"/>
      <w:r>
        <w:rPr>
          <w:rFonts w:hint="cs"/>
          <w:rtl/>
        </w:rPr>
        <w:t xml:space="preserve">. </w:t>
      </w:r>
    </w:p>
    <w:p w:rsidR="006E1A1C" w:rsidRDefault="006E1A1C">
      <w:pPr>
        <w:ind w:left="720" w:hanging="720"/>
        <w:rPr>
          <w:rFonts w:hint="cs"/>
          <w:rtl/>
        </w:rPr>
      </w:pPr>
    </w:p>
    <w:p w:rsidR="006E1A1C" w:rsidRDefault="006E1A1C">
      <w:pPr>
        <w:ind w:left="720" w:hanging="720"/>
        <w:rPr>
          <w:rFonts w:hint="cs"/>
          <w:rtl/>
        </w:rPr>
      </w:pPr>
      <w:r>
        <w:rPr>
          <w:rFonts w:hint="cs"/>
          <w:rtl/>
        </w:rPr>
        <w:t>2.</w:t>
      </w:r>
      <w:r>
        <w:rPr>
          <w:rFonts w:hint="cs"/>
          <w:rtl/>
        </w:rPr>
        <w:tab/>
        <w:t>עוד נטען בכתב התביעה כי המשיבה מעלה באמון שניתן לה והוציאה במרמה כספים מהתובעת. בין היתר נטען כי מנהל המבקשת חתם על שיקים ריקים ואלו מולאו על ידי המשיבה כאשר בספח השיק נרשם שמו של עובד ואילו על גבי השיק נרשם שמה של המשיבה כנפרעת. שיקים אלו הופקדו בחשבון המשיבה או בחשבונות של בנותיה. עוד נטען כי המשיבה מילאה בשיקים אחרים את שמה כנפרעת מבלי שהיתה זכאית לכך וכך משכה סכומים נכבדים מקופת המבקשת.</w:t>
      </w:r>
    </w:p>
    <w:p w:rsidR="006E1A1C" w:rsidRDefault="006E1A1C">
      <w:pPr>
        <w:ind w:left="720" w:hanging="720"/>
        <w:rPr>
          <w:rFonts w:hint="cs"/>
          <w:color w:val="FFFFFF"/>
          <w:sz w:val="4"/>
          <w:szCs w:val="4"/>
          <w:rtl/>
        </w:rPr>
      </w:pPr>
    </w:p>
    <w:p w:rsidR="006E1A1C" w:rsidRDefault="006E1A1C">
      <w:pPr>
        <w:ind w:left="720" w:hanging="720"/>
        <w:rPr>
          <w:rFonts w:hint="cs"/>
          <w:rtl/>
        </w:rPr>
      </w:pPr>
      <w:r>
        <w:rPr>
          <w:color w:val="FFFFFF"/>
          <w:sz w:val="4"/>
          <w:szCs w:val="4"/>
          <w:rtl/>
        </w:rPr>
        <w:t>5129371</w:t>
      </w:r>
    </w:p>
    <w:p w:rsidR="006E1A1C" w:rsidRDefault="006E1A1C">
      <w:pPr>
        <w:ind w:left="720" w:hanging="720"/>
        <w:rPr>
          <w:rFonts w:hint="cs"/>
          <w:rtl/>
        </w:rPr>
      </w:pPr>
      <w:r>
        <w:rPr>
          <w:rFonts w:hint="cs"/>
          <w:rtl/>
        </w:rPr>
        <w:lastRenderedPageBreak/>
        <w:t>3.</w:t>
      </w:r>
      <w:r>
        <w:rPr>
          <w:rFonts w:hint="cs"/>
          <w:rtl/>
        </w:rPr>
        <w:tab/>
        <w:t xml:space="preserve">סך כל הכספים אשר נמשכו על פי הנטען על ידי המשיבה בדרכים אלו הינו 1,974,495 ₪ (קרן) ולאחר שיערוך 2,754,142 ₪. המבקשת צירפה לכתב תביעתה את רשימת כל השיקים אשר הופקדו בחשבון המשיבה ובחשבונות כל אחת מבנותיה. </w:t>
      </w:r>
    </w:p>
    <w:p w:rsidR="006E1A1C" w:rsidRDefault="006E1A1C">
      <w:pPr>
        <w:ind w:left="720" w:hanging="720"/>
        <w:rPr>
          <w:rFonts w:hint="cs"/>
          <w:rtl/>
        </w:rPr>
      </w:pPr>
      <w:r>
        <w:rPr>
          <w:rFonts w:hint="cs"/>
          <w:rtl/>
        </w:rPr>
        <w:tab/>
        <w:t>המבקשת ציינה כי קיים חשד כי המשיבה הוציאה במרמה כספים נוספים מהקופה השוטפת, אך בטרם השלימה את הבירור, כך טענה, אינה תובעת סכומים נוספים אלו.</w:t>
      </w:r>
      <w:r>
        <w:rPr>
          <w:color w:val="FFFFFF"/>
          <w:sz w:val="4"/>
          <w:szCs w:val="4"/>
          <w:rtl/>
        </w:rPr>
        <w:t>נ</w:t>
      </w:r>
    </w:p>
    <w:p w:rsidR="006E1A1C" w:rsidRDefault="006E1A1C">
      <w:pPr>
        <w:ind w:left="720" w:hanging="720"/>
        <w:rPr>
          <w:rFonts w:hint="cs"/>
          <w:rtl/>
        </w:rPr>
      </w:pPr>
    </w:p>
    <w:p w:rsidR="006E1A1C" w:rsidRDefault="006E1A1C">
      <w:pPr>
        <w:ind w:left="720" w:hanging="720"/>
        <w:rPr>
          <w:rFonts w:hint="cs"/>
          <w:rtl/>
        </w:rPr>
      </w:pPr>
      <w:r>
        <w:rPr>
          <w:rFonts w:hint="cs"/>
          <w:rtl/>
        </w:rPr>
        <w:t>4.</w:t>
      </w:r>
      <w:r>
        <w:rPr>
          <w:rFonts w:hint="cs"/>
          <w:rtl/>
        </w:rPr>
        <w:tab/>
        <w:t xml:space="preserve">המבקשת אף הדגישה כי לאחר שהתגלו העובדות האמורות השיבה המשיבה סך של 250,000 ₪ שנלקחו על פי הנטען מהקופה השוטפת וכספים שהוצאו מכספת המבקשת. </w:t>
      </w:r>
    </w:p>
    <w:p w:rsidR="006E1A1C" w:rsidRDefault="006E1A1C">
      <w:pPr>
        <w:ind w:left="720" w:hanging="720"/>
        <w:rPr>
          <w:rFonts w:hint="cs"/>
          <w:rtl/>
        </w:rPr>
      </w:pPr>
    </w:p>
    <w:p w:rsidR="006E1A1C" w:rsidRDefault="006E1A1C">
      <w:pPr>
        <w:ind w:left="720" w:hanging="720"/>
        <w:rPr>
          <w:rFonts w:hint="cs"/>
          <w:rtl/>
        </w:rPr>
      </w:pPr>
      <w:r>
        <w:rPr>
          <w:rFonts w:hint="cs"/>
          <w:rtl/>
        </w:rPr>
        <w:t>5.</w:t>
      </w:r>
      <w:r>
        <w:rPr>
          <w:rFonts w:hint="cs"/>
          <w:rtl/>
        </w:rPr>
        <w:tab/>
        <w:t>המשיבה מצדה הגישה כתב הגנה וכן תביעה שכנגד. כעולה מכתב ההגנה המשיבה לא הכחישה כי תשלומים שונים נמשכו מחשבון החברה והועברו לחשבונה אך טענה כי חשבונות המשיבה ובנותיה שימשו כ"מכבסה להלבנת כספים" שנמשכו שלא כדין על ידי מנהל המבקשת בעצמו. המשיבה הדגישה כי כל הכספים שהופקדו בחשבונות הבנק שלה או של בנותיה הוחזרו בדרך זו או אחרת למבקשת (סעיף 20(א) לכתב ההגנה).</w:t>
      </w:r>
      <w:r>
        <w:rPr>
          <w:color w:val="FFFFFF"/>
          <w:sz w:val="4"/>
          <w:szCs w:val="4"/>
          <w:rtl/>
        </w:rPr>
        <w:t>ב</w:t>
      </w:r>
    </w:p>
    <w:p w:rsidR="006E1A1C" w:rsidRDefault="006E1A1C">
      <w:pPr>
        <w:ind w:left="720" w:hanging="720"/>
        <w:rPr>
          <w:rFonts w:hint="cs"/>
          <w:rtl/>
        </w:rPr>
      </w:pPr>
    </w:p>
    <w:p w:rsidR="006E1A1C" w:rsidRDefault="006E1A1C">
      <w:pPr>
        <w:ind w:left="720" w:hanging="720"/>
        <w:rPr>
          <w:rFonts w:hint="cs"/>
          <w:rtl/>
        </w:rPr>
      </w:pPr>
      <w:r>
        <w:rPr>
          <w:rFonts w:hint="cs"/>
          <w:rtl/>
        </w:rPr>
        <w:t>6.</w:t>
      </w:r>
      <w:r>
        <w:rPr>
          <w:rFonts w:hint="cs"/>
          <w:rtl/>
        </w:rPr>
        <w:tab/>
        <w:t xml:space="preserve">בבקשה הנוכחית שהוגשה על ידי המבקשת ביום 18.9.03 עתרה המבקשת למתן סעד זמני, במעמד צד אחד, אשר יאפשר לה לתפוס נכסים הנמצאים אצל המשיבה. ביום 22.9.03 ניתן צו הממנה את ב"כ המבקשת, עו"ד גרוס, ככונס נכסים לשם תפיסת מסמכים המצויים בבית המשיבה או בחצריה. הצו הוגבל למסמכי הנהלת חשבונות או מסמכים אחרים, לרבות פנקסי שיקים, דפי בנק וכו' השייכים למבקשת. כן ניתן צו המאפשר תפיסת דיסקטים, דיסקים או חומר מחשב אחר הנוגע למידע ממחשבי המבקשת. לגבי המידע האחרון נקבע כי על הכונס לפעול על פי תקנה 387ד' לתקנות סדר הדין האזרחי, התשמ"ד-1984, דהיינו, לתפוס את החומר ולהחזיקו בנאמנות עד מתן הוראות מבית המשפט. </w:t>
      </w:r>
    </w:p>
    <w:p w:rsidR="006E1A1C" w:rsidRDefault="006E1A1C">
      <w:pPr>
        <w:ind w:left="720" w:hanging="720"/>
        <w:rPr>
          <w:rFonts w:hint="cs"/>
          <w:rtl/>
        </w:rPr>
      </w:pPr>
    </w:p>
    <w:p w:rsidR="006E1A1C" w:rsidRDefault="006E1A1C">
      <w:pPr>
        <w:ind w:left="720" w:hanging="720"/>
        <w:rPr>
          <w:rFonts w:hint="cs"/>
          <w:rtl/>
        </w:rPr>
      </w:pPr>
      <w:r>
        <w:rPr>
          <w:rFonts w:hint="cs"/>
          <w:rtl/>
        </w:rPr>
        <w:t>7.</w:t>
      </w:r>
      <w:r>
        <w:rPr>
          <w:rFonts w:hint="cs"/>
          <w:rtl/>
        </w:rPr>
        <w:tab/>
        <w:t xml:space="preserve">ביום 24.9.03 בוצע הצו בבית המשיבה. במסגרת זו תפס הכונס מסמכים שונים כמפורט בדו"ח שהגיש (בסעיף 11(ב)). בין היתר נתפסו מסמכים המעידים על הפקדת שיקים של המבקשת לחשבונות המשיבה וכן לחשבון בתה, הנתבעת מס' 2. בחיפוש נתפסו גם 13 דיסקטים ו-8 דיסקטים צרובים וכן מחשב ביתי מתוצרת פאקרד בל. אלו הופקדו בכספת במשרד הכונס עד לקבלת הוראות. </w:t>
      </w:r>
    </w:p>
    <w:p w:rsidR="006E1A1C" w:rsidRDefault="006E1A1C">
      <w:pPr>
        <w:ind w:left="720" w:hanging="720"/>
        <w:rPr>
          <w:rFonts w:hint="cs"/>
          <w:rtl/>
        </w:rPr>
      </w:pPr>
    </w:p>
    <w:p w:rsidR="006E1A1C" w:rsidRDefault="006E1A1C">
      <w:pPr>
        <w:ind w:left="720" w:hanging="720"/>
        <w:rPr>
          <w:rFonts w:hint="cs"/>
          <w:rtl/>
        </w:rPr>
      </w:pPr>
      <w:r>
        <w:rPr>
          <w:rFonts w:hint="cs"/>
          <w:rtl/>
        </w:rPr>
        <w:t>8.</w:t>
      </w:r>
      <w:r>
        <w:rPr>
          <w:rFonts w:hint="cs"/>
          <w:rtl/>
        </w:rPr>
        <w:tab/>
        <w:t xml:space="preserve">בדיון שנערך בפני העלתה המשיבה טענות שונות כנגד עצם מתן הצו אך הואיל וצו זה כבר בוצע מיקדה טענותיה לגבי המחשב הדיסקים והדיסקטים שנתפסו (להלן: "חומר המחשבים"). </w:t>
      </w:r>
    </w:p>
    <w:p w:rsidR="006E1A1C" w:rsidRDefault="006E1A1C">
      <w:pPr>
        <w:ind w:left="720" w:hanging="720"/>
        <w:rPr>
          <w:rFonts w:hint="cs"/>
          <w:rtl/>
        </w:rPr>
      </w:pPr>
    </w:p>
    <w:p w:rsidR="006E1A1C" w:rsidRDefault="006E1A1C">
      <w:pPr>
        <w:ind w:left="720" w:hanging="720"/>
        <w:rPr>
          <w:rFonts w:hint="cs"/>
          <w:rtl/>
        </w:rPr>
      </w:pPr>
      <w:r>
        <w:rPr>
          <w:rFonts w:hint="cs"/>
          <w:rtl/>
        </w:rPr>
        <w:t>9.</w:t>
      </w:r>
      <w:r>
        <w:rPr>
          <w:rFonts w:hint="cs"/>
          <w:rtl/>
        </w:rPr>
        <w:tab/>
        <w:t xml:space="preserve">בתצהיר שצורף לבקשת המבקשת נטען כי בימי עבודתה האחרונים של המשיבה דאגה המשיבה להעתיק נתונים מהמחשב על גבי דיסקטים אותם לקחה עמה (סעיף 31). כן </w:t>
      </w:r>
      <w:r>
        <w:rPr>
          <w:rFonts w:hint="cs"/>
          <w:rtl/>
        </w:rPr>
        <w:lastRenderedPageBreak/>
        <w:t xml:space="preserve">נטען כי קיים חשש שעם ביצוע העסקה נמחקו קבצים ממחשבי המבקשת ובכך נעלם מידע חיוני הדרוש למבקשת גם לשם הוכחת טענותיה בתביעה. </w:t>
      </w:r>
    </w:p>
    <w:p w:rsidR="006E1A1C" w:rsidRDefault="006E1A1C">
      <w:pPr>
        <w:ind w:left="720" w:hanging="720"/>
        <w:rPr>
          <w:rFonts w:hint="cs"/>
          <w:rtl/>
        </w:rPr>
      </w:pPr>
    </w:p>
    <w:p w:rsidR="006E1A1C" w:rsidRDefault="006E1A1C">
      <w:pPr>
        <w:ind w:left="720" w:hanging="720"/>
        <w:rPr>
          <w:rFonts w:hint="cs"/>
          <w:rtl/>
        </w:rPr>
      </w:pPr>
      <w:r>
        <w:rPr>
          <w:rFonts w:hint="cs"/>
          <w:rtl/>
        </w:rPr>
        <w:t>10.</w:t>
      </w:r>
      <w:r>
        <w:rPr>
          <w:rFonts w:hint="cs"/>
          <w:rtl/>
        </w:rPr>
        <w:tab/>
        <w:t xml:space="preserve">המשיבה מצדה הגישה תגובה לבקשה אך נמנעה מלצרף תצהיר. המשיבה טענה כי אין מקום ליתן צו לעיון בחומר המחשבים שכן יש בכך משום פגיעה בפרטיותה. המשיבה הדגישה כי המבקשת השתהתה חודשים אחרים מיום גילוי העובדות נשוא התביעה ואפילו מיום הגשת התביעה ועד ליום הגשת הבקשה. כן ציינה כי אין די באמור בבקשה כדי להצביע על בסיס לחשדות בדבר המצאות מידע השייך למבקשת על גבי הדיסקטים והדיסקים. </w:t>
      </w:r>
    </w:p>
    <w:p w:rsidR="006E1A1C" w:rsidRDefault="006E1A1C">
      <w:pPr>
        <w:ind w:left="720" w:hanging="720"/>
        <w:rPr>
          <w:rFonts w:hint="cs"/>
          <w:rtl/>
        </w:rPr>
      </w:pPr>
    </w:p>
    <w:p w:rsidR="006E1A1C" w:rsidRDefault="006E1A1C">
      <w:pPr>
        <w:ind w:left="720" w:hanging="720"/>
        <w:rPr>
          <w:rFonts w:hint="cs"/>
          <w:rtl/>
        </w:rPr>
      </w:pPr>
      <w:r>
        <w:rPr>
          <w:rFonts w:hint="cs"/>
          <w:rtl/>
        </w:rPr>
        <w:t>11.</w:t>
      </w:r>
      <w:r>
        <w:rPr>
          <w:rFonts w:hint="cs"/>
          <w:rtl/>
        </w:rPr>
        <w:tab/>
        <w:t xml:space="preserve">בדיון שנערך בפני נחקר מר גבי קנדרו, מנהל המבקשת. מחקירתו עולה כי המבקשת פנתה, עוד לפני הגשת הבקשה, במכתב לבא כח המשיבה ובו דרשה את כל המסמכים והמידע שבידיה, אך מכתב זה לא הוצג. מר קנדרו העיד כי מצא פנקסי שיקים שמהם נעלמו חלק מהשיקים (עמ' 8). לדבריו מחשב החברה נחסם ויש בלבו חשש כי הדבר נובע מפעולות שביצעה המשיבה (שם). המצהיר אישר כי במספר מקרים קיבלה החברה שיקים מהמשיבה אך נטען שלא מדובר בחלק ממסכת "הלבנת" הכספים כנטען אלא בהחזרי הלוואות. לטענתו, הוא פעל על פי עצת רואה החשבון וביקש להציג כי לחברה הלוואות מגורמים חיצוניים. לשם כך העביר למשיבה כספים על מנת שתחזירם באמצעות הלוואה לחברה. </w:t>
      </w:r>
    </w:p>
    <w:p w:rsidR="006E1A1C" w:rsidRDefault="006E1A1C">
      <w:pPr>
        <w:ind w:left="720" w:hanging="720"/>
        <w:rPr>
          <w:rFonts w:hint="cs"/>
          <w:rtl/>
        </w:rPr>
      </w:pPr>
    </w:p>
    <w:p w:rsidR="006E1A1C" w:rsidRDefault="006E1A1C">
      <w:pPr>
        <w:ind w:left="720" w:hanging="720"/>
        <w:rPr>
          <w:rFonts w:hint="cs"/>
          <w:rtl/>
        </w:rPr>
      </w:pPr>
      <w:r>
        <w:rPr>
          <w:rFonts w:hint="cs"/>
          <w:rtl/>
        </w:rPr>
        <w:t>12.</w:t>
      </w:r>
      <w:r>
        <w:rPr>
          <w:rFonts w:hint="cs"/>
          <w:rtl/>
        </w:rPr>
        <w:tab/>
        <w:t xml:space="preserve">מהותו של הצו שהתבקש בפני הינו צו לתפיסת ראיות ומסמכים המצויים אצל בעל הדין האחר. צו זה מכונה צו מסוג "אנטון פילר" בעקבות פסק דינו של הלורד דנינג בפרשת </w:t>
      </w:r>
      <w:r>
        <w:t>Anton Piller V. Manufacturing Processes Ltd</w:t>
      </w:r>
      <w:proofErr w:type="gramStart"/>
      <w:r>
        <w:t>.(</w:t>
      </w:r>
      <w:proofErr w:type="gramEnd"/>
      <w:r>
        <w:t xml:space="preserve">1976), All.E.r.779 </w:t>
      </w:r>
      <w:r>
        <w:rPr>
          <w:rFonts w:hint="cs"/>
          <w:rtl/>
        </w:rPr>
        <w:t>.</w:t>
      </w:r>
      <w:r>
        <w:rPr>
          <w:color w:val="FFFFFF"/>
          <w:sz w:val="4"/>
          <w:szCs w:val="4"/>
          <w:rtl/>
        </w:rPr>
        <w:t>ו</w:t>
      </w:r>
    </w:p>
    <w:p w:rsidR="006E1A1C" w:rsidRDefault="006E1A1C">
      <w:pPr>
        <w:ind w:left="720" w:hanging="720"/>
        <w:rPr>
          <w:rFonts w:hint="cs"/>
          <w:rtl/>
        </w:rPr>
      </w:pPr>
    </w:p>
    <w:p w:rsidR="006E1A1C" w:rsidRDefault="006E1A1C">
      <w:pPr>
        <w:ind w:left="720" w:hanging="720"/>
        <w:rPr>
          <w:rFonts w:hint="cs"/>
          <w:rtl/>
        </w:rPr>
      </w:pPr>
      <w:r>
        <w:rPr>
          <w:rFonts w:hint="cs"/>
          <w:rtl/>
        </w:rPr>
        <w:t>13.</w:t>
      </w:r>
      <w:r>
        <w:rPr>
          <w:rFonts w:hint="cs"/>
          <w:rtl/>
        </w:rPr>
        <w:tab/>
        <w:t xml:space="preserve">בראשיתו נעשה שימוש בצו שכזה אך ורק במסגרת הליכים שעניינם הפרת זכויות יוצרים ולצורך תפיסת המוצרים המפרים עם השנים הרחיבו בתי-המשפט את השימוש בצו גם למקרים בהם היה צורך בתפיסה של ראיות חשובות להוכחות התביעה (ראה </w:t>
      </w:r>
      <w:r>
        <w:rPr>
          <w:rFonts w:hint="cs"/>
          <w:b/>
          <w:bCs/>
          <w:rtl/>
        </w:rPr>
        <w:t>סקירה בת"א (תל-אביב) 798/90, רותם חברה לביטוח בע"מ נ' ראודר, תק' מח'91(3)</w:t>
      </w:r>
      <w:r>
        <w:rPr>
          <w:rFonts w:hint="cs"/>
          <w:rtl/>
        </w:rPr>
        <w:t xml:space="preserve">, </w:t>
      </w:r>
      <w:r>
        <w:rPr>
          <w:rFonts w:hint="cs"/>
          <w:b/>
          <w:bCs/>
          <w:rtl/>
        </w:rPr>
        <w:t>402</w:t>
      </w:r>
      <w:r>
        <w:rPr>
          <w:rFonts w:hint="cs"/>
          <w:rtl/>
        </w:rPr>
        <w:t xml:space="preserve">; </w:t>
      </w:r>
      <w:r>
        <w:rPr>
          <w:rFonts w:hint="cs"/>
          <w:b/>
          <w:bCs/>
          <w:rtl/>
        </w:rPr>
        <w:t xml:space="preserve">ומאמר של השופט ד"ר ע. אזר, צווי "מריבה" </w:t>
      </w:r>
      <w:r>
        <w:rPr>
          <w:rFonts w:hint="cs"/>
          <w:rtl/>
        </w:rPr>
        <w:t>ו</w:t>
      </w:r>
      <w:r>
        <w:rPr>
          <w:rFonts w:hint="cs"/>
          <w:b/>
          <w:bCs/>
          <w:rtl/>
        </w:rPr>
        <w:t>"אנטון פילר", הפרקליט מא 93</w:t>
      </w:r>
      <w:r>
        <w:rPr>
          <w:rFonts w:hint="cs"/>
          <w:rtl/>
        </w:rPr>
        <w:t>).</w:t>
      </w:r>
      <w:r>
        <w:rPr>
          <w:color w:val="FFFFFF"/>
          <w:sz w:val="4"/>
          <w:szCs w:val="4"/>
          <w:rtl/>
        </w:rPr>
        <w:t>נ</w:t>
      </w:r>
    </w:p>
    <w:p w:rsidR="006E1A1C" w:rsidRDefault="006E1A1C">
      <w:pPr>
        <w:ind w:left="720" w:hanging="720"/>
        <w:rPr>
          <w:rFonts w:hint="cs"/>
          <w:rtl/>
        </w:rPr>
      </w:pPr>
    </w:p>
    <w:p w:rsidR="006E1A1C" w:rsidRDefault="006E1A1C">
      <w:pPr>
        <w:ind w:left="720" w:hanging="720"/>
        <w:rPr>
          <w:rFonts w:hint="cs"/>
          <w:rtl/>
        </w:rPr>
      </w:pPr>
      <w:r>
        <w:rPr>
          <w:rFonts w:hint="cs"/>
          <w:rtl/>
        </w:rPr>
        <w:t>14.</w:t>
      </w:r>
      <w:r>
        <w:rPr>
          <w:rFonts w:hint="cs"/>
          <w:rtl/>
        </w:rPr>
        <w:tab/>
        <w:t>בחוק העוולות המסחריות, תשנ"ט-1999, אימץ המחוקק את הכללים בדבר מתן צווי תפיסה של נכסים לשם מניעת העוולה או לשם השגת ראיות וקבע הוראות מפורשות בסעיף 16 לחוק. המחוקק קבע כי צו זמני לתפיסת נכסים ינתן רק כאשר קיים "חשש סביר להעלמותן" של הראיות.</w:t>
      </w:r>
      <w:r>
        <w:rPr>
          <w:color w:val="FFFFFF"/>
          <w:sz w:val="4"/>
          <w:szCs w:val="4"/>
          <w:rtl/>
        </w:rPr>
        <w:t>ב</w:t>
      </w:r>
    </w:p>
    <w:p w:rsidR="006E1A1C" w:rsidRDefault="006E1A1C">
      <w:pPr>
        <w:ind w:left="720" w:hanging="720"/>
        <w:rPr>
          <w:rFonts w:hint="cs"/>
          <w:rtl/>
        </w:rPr>
      </w:pPr>
    </w:p>
    <w:p w:rsidR="006E1A1C" w:rsidRDefault="006E1A1C">
      <w:pPr>
        <w:ind w:left="720" w:hanging="720"/>
        <w:rPr>
          <w:rFonts w:hint="cs"/>
          <w:rtl/>
        </w:rPr>
      </w:pPr>
      <w:r>
        <w:rPr>
          <w:rFonts w:hint="cs"/>
          <w:rtl/>
        </w:rPr>
        <w:tab/>
        <w:t xml:space="preserve">בסימן ב'1 לתקנות סדר הדין האזרחי, התשמ"ד-1981, שהוסף בתיקון משנת תשס"א נקבעו הוראות כלליות בעניין צווי תפיסת נכסים לרבות מינוי כונס נכסים זמני </w:t>
      </w:r>
      <w:r>
        <w:rPr>
          <w:rFonts w:hint="cs"/>
          <w:rtl/>
        </w:rPr>
        <w:lastRenderedPageBreak/>
        <w:t xml:space="preserve">לתפיסתם. בתקנה 387א' לתקנות נקבע כי בית המשפט יהיה מוסמך למנות כונס לשם ביצוע חיפוש ותפיסה של נכסים "אם שוכנע על בסיס ראיות מהימנות לכאורה כי קיים </w:t>
      </w:r>
      <w:r>
        <w:rPr>
          <w:rFonts w:hint="cs"/>
          <w:b/>
          <w:bCs/>
          <w:u w:val="single"/>
          <w:rtl/>
        </w:rPr>
        <w:t>חשש ממשי</w:t>
      </w:r>
      <w:r>
        <w:rPr>
          <w:rFonts w:hint="cs"/>
          <w:rtl/>
        </w:rPr>
        <w:t xml:space="preserve"> שהמשיב או אדם אחר מטעמו עומד להעלים את הנכסים או אדם אחר מטעמו עומד להעלים את הנכסים או להשמידם וכי הדבר יכביד באופן ממשי על קיום ההליך" (ההדגשה הוספה). </w:t>
      </w:r>
    </w:p>
    <w:p w:rsidR="006E1A1C" w:rsidRDefault="006E1A1C">
      <w:pPr>
        <w:ind w:left="720" w:hanging="720"/>
        <w:rPr>
          <w:rFonts w:hint="cs"/>
          <w:rtl/>
        </w:rPr>
      </w:pPr>
    </w:p>
    <w:p w:rsidR="006E1A1C" w:rsidRDefault="006E1A1C">
      <w:pPr>
        <w:ind w:left="720" w:hanging="720"/>
        <w:rPr>
          <w:rFonts w:hint="cs"/>
          <w:rtl/>
        </w:rPr>
      </w:pPr>
      <w:r>
        <w:rPr>
          <w:rFonts w:hint="cs"/>
          <w:rtl/>
        </w:rPr>
        <w:t>15.</w:t>
      </w:r>
      <w:r>
        <w:rPr>
          <w:rFonts w:hint="cs"/>
          <w:rtl/>
        </w:rPr>
        <w:tab/>
        <w:t xml:space="preserve">כאשר שוקל בית המשפט מתן צו תפיסת נכסים עליו לאזן בין אינטרס המבקש למנוע העלמותם של ראיות או נכסים מחד, לבין אינטרס המשיב שלא תפגע פרטיותו מעבר לנדרש מאידך. על פי התקנות לא די בראיות מהימנות להוכחת התביעה אלא יש צורך להצביע על חשש ממשי להעלמת הנכסים או הראיות וכי העלמות זו תכביד על קיומו של ההליך. </w:t>
      </w:r>
    </w:p>
    <w:p w:rsidR="006E1A1C" w:rsidRDefault="006E1A1C">
      <w:pPr>
        <w:ind w:left="720" w:hanging="720"/>
        <w:rPr>
          <w:rFonts w:hint="cs"/>
          <w:rtl/>
        </w:rPr>
      </w:pPr>
    </w:p>
    <w:p w:rsidR="006E1A1C" w:rsidRDefault="006E1A1C">
      <w:pPr>
        <w:ind w:left="720" w:hanging="720"/>
        <w:rPr>
          <w:rFonts w:hint="cs"/>
          <w:rtl/>
        </w:rPr>
      </w:pPr>
      <w:r>
        <w:rPr>
          <w:rFonts w:hint="cs"/>
          <w:rtl/>
        </w:rPr>
        <w:t>16.</w:t>
      </w:r>
      <w:r>
        <w:rPr>
          <w:rFonts w:hint="cs"/>
          <w:rtl/>
        </w:rPr>
        <w:tab/>
        <w:t>בבקשה שבפני נטען, כאמור, כי יש חשש ממשי שהמשיבה העתיקה חומר ממחשבי המבקשת. חשש זה מבוסס על כך שהמצהיר ראה את המשיבה מעתיקה חומר לדיסקט גיבוי. כן נטען כי נמצאו פגמים בתוכנה וקיים חשש שמא מעשי המשיבה הם שגרמו לחסימות.</w:t>
      </w:r>
      <w:r>
        <w:rPr>
          <w:color w:val="FFFFFF"/>
          <w:sz w:val="4"/>
          <w:szCs w:val="4"/>
          <w:rtl/>
        </w:rPr>
        <w:t>ו</w:t>
      </w:r>
    </w:p>
    <w:p w:rsidR="006E1A1C" w:rsidRDefault="006E1A1C">
      <w:pPr>
        <w:ind w:left="720" w:hanging="720"/>
        <w:rPr>
          <w:rFonts w:hint="cs"/>
          <w:rtl/>
        </w:rPr>
      </w:pPr>
      <w:r>
        <w:rPr>
          <w:rFonts w:hint="cs"/>
          <w:rtl/>
        </w:rPr>
        <w:t xml:space="preserve"> </w:t>
      </w:r>
    </w:p>
    <w:bookmarkEnd w:id="5"/>
    <w:p w:rsidR="006E1A1C" w:rsidRDefault="006E1A1C">
      <w:pPr>
        <w:ind w:left="720" w:hanging="720"/>
        <w:rPr>
          <w:rFonts w:hint="cs"/>
          <w:rtl/>
        </w:rPr>
      </w:pPr>
      <w:r>
        <w:rPr>
          <w:rFonts w:hint="cs"/>
          <w:rtl/>
        </w:rPr>
        <w:t>17.</w:t>
      </w:r>
      <w:r>
        <w:rPr>
          <w:rFonts w:hint="cs"/>
          <w:rtl/>
        </w:rPr>
        <w:tab/>
        <w:t xml:space="preserve">דומה שבראיות אלו אין די כדי לשכנע כי קיים חשש ממשי שהמשיבה נטלה או העתיקה חומר  ממחשבי המבקשת ולא כל שכן אין די כדי לקבוע שיש חשש להעלמת המידע או הראיות. </w:t>
      </w:r>
    </w:p>
    <w:p w:rsidR="006E1A1C" w:rsidRDefault="006E1A1C">
      <w:pPr>
        <w:ind w:left="720" w:hanging="720"/>
        <w:rPr>
          <w:rFonts w:hint="cs"/>
          <w:rtl/>
        </w:rPr>
      </w:pPr>
    </w:p>
    <w:p w:rsidR="006E1A1C" w:rsidRDefault="006E1A1C">
      <w:pPr>
        <w:ind w:left="720" w:hanging="720"/>
        <w:rPr>
          <w:rFonts w:hint="cs"/>
          <w:rtl/>
        </w:rPr>
      </w:pPr>
      <w:r>
        <w:rPr>
          <w:rFonts w:hint="cs"/>
          <w:rtl/>
        </w:rPr>
        <w:tab/>
        <w:t xml:space="preserve">כאמור לעיל אין חולק כי כספים הועברו לחשבונה של המשיבה. אין טענה על גניבת נכסים אחרים של המבקשת. ככל שניתן להבין חוששת המבקשת שמא ראיות המוכיחות העברת כספים אלו מצויים במחשב ובדיסקטים של המשיבה, בין היתר, מאחר שהמשיבה ביצעה העתקות של מסמכים לדיסקטים. </w:t>
      </w:r>
    </w:p>
    <w:p w:rsidR="006E1A1C" w:rsidRDefault="006E1A1C">
      <w:pPr>
        <w:ind w:left="720" w:hanging="720"/>
        <w:rPr>
          <w:rFonts w:hint="cs"/>
          <w:rtl/>
        </w:rPr>
      </w:pPr>
    </w:p>
    <w:p w:rsidR="006E1A1C" w:rsidRDefault="006E1A1C">
      <w:pPr>
        <w:ind w:left="720" w:hanging="720"/>
        <w:rPr>
          <w:rFonts w:hint="cs"/>
          <w:rtl/>
        </w:rPr>
      </w:pPr>
      <w:r>
        <w:rPr>
          <w:rFonts w:hint="cs"/>
          <w:rtl/>
        </w:rPr>
        <w:t>18.</w:t>
      </w:r>
      <w:r>
        <w:rPr>
          <w:rFonts w:hint="cs"/>
          <w:rtl/>
        </w:rPr>
        <w:tab/>
        <w:t>עצם העתקת המידע לדיסקטים אינו מלמד מאום שכן הדבר נעשה לכאורה במסגרת עבודתה של המשיבה אצל המבקש. אין בפני שמץ ראיה כי מידע כלשהו נמחק ממחשבי המבקשת. אין ראיה כי  מבקשת חיבלה בדרך כלשהי באפשרות הגישה לקבצי המידע במחשבי המבקשת.</w:t>
      </w:r>
      <w:r>
        <w:rPr>
          <w:color w:val="FFFFFF"/>
          <w:sz w:val="4"/>
          <w:szCs w:val="4"/>
          <w:rtl/>
        </w:rPr>
        <w:t>נ</w:t>
      </w:r>
    </w:p>
    <w:p w:rsidR="006E1A1C" w:rsidRDefault="006E1A1C">
      <w:pPr>
        <w:ind w:left="720" w:hanging="720"/>
        <w:rPr>
          <w:rFonts w:hint="cs"/>
          <w:rtl/>
        </w:rPr>
      </w:pPr>
    </w:p>
    <w:p w:rsidR="006E1A1C" w:rsidRDefault="006E1A1C">
      <w:pPr>
        <w:ind w:left="720" w:hanging="720"/>
        <w:rPr>
          <w:rFonts w:hint="cs"/>
          <w:rtl/>
        </w:rPr>
      </w:pPr>
      <w:r>
        <w:rPr>
          <w:rFonts w:hint="cs"/>
          <w:rtl/>
        </w:rPr>
        <w:tab/>
        <w:t xml:space="preserve">צפוי היה כי המבקשת תמציא אישור, תצהיר או חוות דעת של מומחה מחשבים ממנו ניתן היה ללמוד, אולי, על העתקת קבצים או על מחיקתם. המצהיר עצמו העיד כי אינו מומחה ואינו מבין במחשבים. </w:t>
      </w:r>
    </w:p>
    <w:p w:rsidR="006E1A1C" w:rsidRDefault="006E1A1C">
      <w:pPr>
        <w:ind w:left="720" w:hanging="720"/>
        <w:rPr>
          <w:rFonts w:hint="cs"/>
          <w:rtl/>
        </w:rPr>
      </w:pPr>
    </w:p>
    <w:p w:rsidR="006E1A1C" w:rsidRDefault="006E1A1C">
      <w:pPr>
        <w:ind w:left="720" w:hanging="720"/>
        <w:rPr>
          <w:rFonts w:hint="cs"/>
          <w:rtl/>
        </w:rPr>
      </w:pPr>
      <w:r>
        <w:rPr>
          <w:rFonts w:hint="cs"/>
          <w:rtl/>
        </w:rPr>
        <w:tab/>
        <w:t xml:space="preserve">ככלל העתקת קבצים ממחשב אינה פוגעת בקבצים המקוריים ואין בכך כדי להפריע למבקשת להשתמש במחשביה. אמנם עצם העתקת הקבצים עשויה לשמש כראיה למעשי </w:t>
      </w:r>
      <w:r>
        <w:rPr>
          <w:rFonts w:hint="cs"/>
          <w:rtl/>
        </w:rPr>
        <w:lastRenderedPageBreak/>
        <w:t xml:space="preserve">המשיבה אך הואיל ואין מחלוקת על העברת הכספים לחשבון המשיבה, ובמיוחד לאור העובדה כי למבקשת גישה מלאה לחשבונות הבנק, אין בהעתקה שכזו, אם בוצעה, כדי להשפיע על ראיות המבקשת בתיק. </w:t>
      </w:r>
    </w:p>
    <w:p w:rsidR="006E1A1C" w:rsidRDefault="006E1A1C">
      <w:pPr>
        <w:ind w:left="720" w:hanging="720"/>
        <w:rPr>
          <w:rFonts w:hint="cs"/>
          <w:rtl/>
        </w:rPr>
      </w:pPr>
    </w:p>
    <w:p w:rsidR="006E1A1C" w:rsidRDefault="006E1A1C">
      <w:pPr>
        <w:ind w:left="720" w:hanging="720"/>
        <w:rPr>
          <w:rFonts w:hint="cs"/>
          <w:rtl/>
        </w:rPr>
      </w:pPr>
      <w:r>
        <w:rPr>
          <w:rFonts w:hint="cs"/>
          <w:rtl/>
        </w:rPr>
        <w:t>19.</w:t>
      </w:r>
      <w:r>
        <w:rPr>
          <w:rFonts w:hint="cs"/>
          <w:rtl/>
        </w:rPr>
        <w:tab/>
        <w:t>מאידך העתקה ועיון במידע שבמחשבי המבקשת מהווה פגיעה בפרטיותה גם אם הדבר יעשה על ידי אדם שלישי, מומחה למחשבים. יש בדבר פגיעה של ממש בפרטיות המשיבה. כזכור הצו שניתן על ידי במעמד צד אחד התייחס רק למסמכים של המבקשת וספק אם יש בפני ראיה להבדיל מחדש כללי כי מידע השייך למבקשת מצוי במחשבי המשיבה.</w:t>
      </w:r>
      <w:r>
        <w:rPr>
          <w:color w:val="FFFFFF"/>
          <w:sz w:val="4"/>
          <w:szCs w:val="4"/>
          <w:rtl/>
        </w:rPr>
        <w:t>ב</w:t>
      </w:r>
    </w:p>
    <w:p w:rsidR="006E1A1C" w:rsidRDefault="006E1A1C">
      <w:pPr>
        <w:ind w:left="720" w:hanging="720"/>
        <w:rPr>
          <w:rFonts w:hint="cs"/>
          <w:rtl/>
        </w:rPr>
      </w:pPr>
    </w:p>
    <w:p w:rsidR="006E1A1C" w:rsidRDefault="006E1A1C">
      <w:pPr>
        <w:ind w:left="720" w:hanging="720"/>
        <w:rPr>
          <w:rFonts w:hint="cs"/>
          <w:rtl/>
        </w:rPr>
      </w:pPr>
      <w:r>
        <w:rPr>
          <w:rFonts w:hint="cs"/>
          <w:rtl/>
        </w:rPr>
        <w:t>20.</w:t>
      </w:r>
      <w:r>
        <w:rPr>
          <w:rFonts w:hint="cs"/>
          <w:rtl/>
        </w:rPr>
        <w:tab/>
        <w:t>בשים לב לאמור, איני סבור שיש מקום להתיר את בדיקת קבצי המידע שבמחשב המשיבה או בדיסקטים ובדיסקים שנתפסו.</w:t>
      </w:r>
      <w:r>
        <w:rPr>
          <w:color w:val="FFFFFF"/>
          <w:sz w:val="4"/>
          <w:szCs w:val="4"/>
          <w:rtl/>
        </w:rPr>
        <w:t>ו</w:t>
      </w:r>
    </w:p>
    <w:p w:rsidR="006E1A1C" w:rsidRDefault="006E1A1C">
      <w:pPr>
        <w:ind w:left="720" w:hanging="720"/>
        <w:rPr>
          <w:rFonts w:hint="cs"/>
          <w:rtl/>
        </w:rPr>
      </w:pPr>
      <w:r>
        <w:rPr>
          <w:rFonts w:hint="cs"/>
          <w:rtl/>
        </w:rPr>
        <w:t xml:space="preserve"> </w:t>
      </w:r>
    </w:p>
    <w:p w:rsidR="006E1A1C" w:rsidRDefault="006E1A1C">
      <w:pPr>
        <w:ind w:left="720" w:hanging="720"/>
        <w:rPr>
          <w:rFonts w:hint="cs"/>
          <w:rtl/>
        </w:rPr>
      </w:pPr>
      <w:r>
        <w:rPr>
          <w:rFonts w:hint="cs"/>
          <w:rtl/>
        </w:rPr>
        <w:tab/>
        <w:t xml:space="preserve">לפיכך, ישיב הכונס תוך 3 ימים מקבלת החלטה זו את כל חומר המחשב שנתפס על ידו, מבלי לעיין בו כלל. </w:t>
      </w:r>
    </w:p>
    <w:p w:rsidR="006E1A1C" w:rsidRDefault="006E1A1C">
      <w:pPr>
        <w:ind w:left="720" w:hanging="720"/>
        <w:rPr>
          <w:rFonts w:hint="cs"/>
          <w:rtl/>
        </w:rPr>
      </w:pPr>
    </w:p>
    <w:p w:rsidR="006E1A1C" w:rsidRDefault="006E1A1C">
      <w:pPr>
        <w:ind w:left="720" w:hanging="720"/>
        <w:rPr>
          <w:rFonts w:hint="cs"/>
          <w:rtl/>
        </w:rPr>
      </w:pPr>
      <w:r>
        <w:rPr>
          <w:rFonts w:hint="cs"/>
          <w:rtl/>
        </w:rPr>
        <w:tab/>
        <w:t xml:space="preserve">הכונס ימסור את המחשב והחומר האחר לידי ב"כ המשיבה במועד שיתואם בין באי כח הצדדים. </w:t>
      </w:r>
    </w:p>
    <w:p w:rsidR="006E1A1C" w:rsidRDefault="006E1A1C">
      <w:pPr>
        <w:ind w:left="720" w:hanging="720"/>
        <w:rPr>
          <w:rFonts w:hint="cs"/>
          <w:rtl/>
        </w:rPr>
      </w:pPr>
    </w:p>
    <w:p w:rsidR="006E1A1C" w:rsidRDefault="006E1A1C">
      <w:pPr>
        <w:ind w:left="720" w:hanging="720"/>
        <w:rPr>
          <w:rFonts w:hint="cs"/>
          <w:rtl/>
        </w:rPr>
      </w:pPr>
      <w:r>
        <w:rPr>
          <w:rFonts w:hint="cs"/>
          <w:rtl/>
        </w:rPr>
        <w:t>21.</w:t>
      </w:r>
      <w:r>
        <w:rPr>
          <w:rFonts w:hint="cs"/>
          <w:rtl/>
        </w:rPr>
        <w:tab/>
        <w:t xml:space="preserve">לאור התוצאה בהחלטתי זו אינני מוצא מקום לחייב, בשלב זה, את מי מהצדדים בתשלום הוצאות. כל צד יוכל להעלות טענותיו בעניין זה במסגרת הכרעה בתיק העיקרי. </w:t>
      </w:r>
    </w:p>
    <w:p w:rsidR="006E1A1C" w:rsidRDefault="006E1A1C">
      <w:pPr>
        <w:ind w:left="720" w:hanging="720"/>
        <w:rPr>
          <w:rFonts w:hint="cs"/>
          <w:rtl/>
        </w:rPr>
      </w:pPr>
    </w:p>
    <w:p w:rsidR="006E1A1C" w:rsidRDefault="006E1A1C">
      <w:pPr>
        <w:rPr>
          <w:rFonts w:hint="cs"/>
          <w:b/>
          <w:bCs/>
          <w:color w:val="000000"/>
          <w:u w:val="single"/>
          <w:rtl/>
        </w:rPr>
      </w:pPr>
      <w:r>
        <w:rPr>
          <w:rFonts w:hint="cs"/>
          <w:b/>
          <w:bCs/>
          <w:color w:val="000000"/>
          <w:u w:val="single"/>
          <w:rtl/>
        </w:rPr>
        <w:t>המזכירות תמציא העתקים לב"כ הצדדים.</w:t>
      </w:r>
      <w:r>
        <w:rPr>
          <w:b/>
          <w:bCs/>
          <w:color w:val="FFFFFF"/>
          <w:sz w:val="4"/>
          <w:szCs w:val="4"/>
          <w:u w:val="single"/>
          <w:rtl/>
        </w:rPr>
        <w:t>נ</w:t>
      </w:r>
    </w:p>
    <w:p w:rsidR="006E1A1C" w:rsidRDefault="006E1A1C">
      <w:pPr>
        <w:rPr>
          <w:rFonts w:hint="cs"/>
          <w:b/>
          <w:bCs/>
          <w:color w:val="000000"/>
          <w:rtl/>
        </w:rPr>
      </w:pPr>
    </w:p>
    <w:p w:rsidR="006E1A1C" w:rsidRDefault="006E1A1C">
      <w:pPr>
        <w:rPr>
          <w:rFonts w:hint="cs"/>
          <w:b/>
          <w:bCs/>
          <w:color w:val="000000"/>
          <w:rtl/>
        </w:rPr>
      </w:pPr>
      <w:r>
        <w:rPr>
          <w:rFonts w:hint="cs"/>
          <w:b/>
          <w:bCs/>
          <w:color w:val="000000"/>
          <w:rtl/>
        </w:rPr>
        <w:t>ניתנה היום כ"ג בחשון, תשס"ד (18 בנובמבר 2003) בהעדר הצדדים.</w:t>
      </w:r>
      <w:r>
        <w:rPr>
          <w:b/>
          <w:bCs/>
          <w:color w:val="FFFFFF"/>
          <w:sz w:val="4"/>
          <w:szCs w:val="4"/>
          <w:rtl/>
        </w:rPr>
        <w:t>ב</w:t>
      </w:r>
    </w:p>
    <w:p w:rsidR="006E1A1C" w:rsidRDefault="006E1A1C">
      <w:pPr>
        <w:rPr>
          <w:rFonts w:hint="cs"/>
          <w:b/>
          <w:bCs/>
          <w:color w:val="000000"/>
          <w:rtl/>
        </w:rPr>
      </w:pPr>
    </w:p>
    <w:p w:rsidR="006E1A1C" w:rsidRDefault="006E1A1C">
      <w:pPr>
        <w:rPr>
          <w:rFonts w:hint="cs"/>
          <w:b/>
          <w:bCs/>
          <w:color w:val="000000"/>
          <w:rtl/>
        </w:rPr>
      </w:pPr>
    </w:p>
    <w:p w:rsidR="006E1A1C" w:rsidRDefault="006E1A1C">
      <w:pPr>
        <w:rPr>
          <w:rFonts w:hint="cs"/>
          <w:b/>
          <w:bCs/>
          <w:color w:val="000000"/>
          <w:rtl/>
        </w:rPr>
      </w:pPr>
    </w:p>
    <w:tbl>
      <w:tblPr>
        <w:bidiVisual/>
        <w:tblW w:w="0" w:type="auto"/>
        <w:tblInd w:w="5727" w:type="dxa"/>
        <w:tblBorders>
          <w:top w:val="single" w:sz="4" w:space="0" w:color="auto"/>
        </w:tblBorders>
        <w:tblLook w:val="0000"/>
      </w:tblPr>
      <w:tblGrid>
        <w:gridCol w:w="2795"/>
      </w:tblGrid>
      <w:tr w:rsidR="00531C3C" w:rsidTr="00531C3C">
        <w:tc>
          <w:tcPr>
            <w:tcW w:w="2802" w:type="dxa"/>
            <w:tcBorders>
              <w:top w:val="single" w:sz="4" w:space="0" w:color="auto"/>
              <w:left w:val="nil"/>
              <w:bottom w:val="nil"/>
              <w:right w:val="nil"/>
            </w:tcBorders>
          </w:tcPr>
          <w:p w:rsidR="006E1A1C" w:rsidRDefault="006E1A1C">
            <w:pPr>
              <w:jc w:val="center"/>
              <w:rPr>
                <w:b/>
                <w:bCs/>
              </w:rPr>
            </w:pPr>
            <w:r>
              <w:rPr>
                <w:rFonts w:hint="cs"/>
                <w:b/>
                <w:bCs/>
                <w:rtl/>
              </w:rPr>
              <w:t>רון סוקול, שופט</w:t>
            </w:r>
          </w:p>
          <w:p w:rsidR="006E1A1C" w:rsidRDefault="006E1A1C">
            <w:pPr>
              <w:jc w:val="center"/>
              <w:rPr>
                <w:b/>
                <w:bCs/>
              </w:rPr>
            </w:pPr>
            <w:r>
              <w:rPr>
                <w:rFonts w:hint="cs"/>
                <w:b/>
                <w:bCs/>
                <w:rtl/>
              </w:rPr>
              <w:t>רשם בית משפט מחוזי חיפה</w:t>
            </w:r>
          </w:p>
        </w:tc>
      </w:tr>
    </w:tbl>
    <w:p w:rsidR="006E1A1C" w:rsidRDefault="006E1A1C">
      <w:pPr>
        <w:rPr>
          <w:rFonts w:hint="cs"/>
          <w:rtl/>
        </w:rPr>
      </w:pPr>
    </w:p>
    <w:p w:rsidR="006E1A1C" w:rsidRDefault="006E1A1C">
      <w:pPr>
        <w:rPr>
          <w:b/>
          <w:bCs/>
          <w:color w:val="000000"/>
          <w:rtl/>
        </w:rPr>
      </w:pPr>
    </w:p>
    <w:p w:rsidR="006E1A1C" w:rsidRDefault="006E1A1C">
      <w:pPr>
        <w:rPr>
          <w:rFonts w:hint="cs"/>
          <w:color w:val="000080"/>
          <w:sz w:val="18"/>
          <w:szCs w:val="18"/>
          <w:rtl/>
        </w:rPr>
      </w:pPr>
      <w:r>
        <w:rPr>
          <w:rFonts w:hint="cs"/>
          <w:color w:val="000080"/>
          <w:sz w:val="18"/>
          <w:szCs w:val="18"/>
          <w:rtl/>
        </w:rPr>
        <w:t>שם הקלדנית: סיגל</w:t>
      </w:r>
    </w:p>
    <w:p w:rsidR="006E1A1C" w:rsidRDefault="006E1A1C">
      <w:pPr>
        <w:rPr>
          <w:rFonts w:hint="cs"/>
          <w:rtl/>
        </w:rPr>
      </w:pPr>
      <w:r>
        <w:rPr>
          <w:rtl/>
        </w:rPr>
        <w:t>נוסח מסמך זה כפוף לשינויי ניסוח ועריכה</w:t>
      </w:r>
    </w:p>
    <w:sectPr w:rsidR="006E1A1C">
      <w:headerReference w:type="even" r:id="rId11"/>
      <w:headerReference w:type="default" r:id="rId12"/>
      <w:footerReference w:type="even" r:id="rId13"/>
      <w:footerReference w:type="default" r:id="rId14"/>
      <w:endnotePr>
        <w:numFmt w:val="lowerLetter"/>
      </w:endnotePr>
      <w:pgSz w:w="11906" w:h="16838"/>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1C" w:rsidRDefault="006E1A1C">
      <w:r>
        <w:separator/>
      </w:r>
    </w:p>
  </w:endnote>
  <w:endnote w:type="continuationSeparator" w:id="0">
    <w:p w:rsidR="006E1A1C" w:rsidRDefault="006E1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1C" w:rsidRDefault="006E1A1C">
    <w:pPr>
      <w:pStyle w:val="Footer"/>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5</w:t>
    </w:r>
    <w:r>
      <w:rPr>
        <w:rFonts w:hAnsi="FrankRuehl" w:cs="FrankRuehl"/>
        <w:sz w:val="24"/>
        <w:rtl/>
      </w:rPr>
      <w:fldChar w:fldCharType="end"/>
    </w:r>
  </w:p>
  <w:p w:rsidR="006E1A1C" w:rsidRDefault="006E1A1C">
    <w:pPr>
      <w:pStyle w:val="Footer"/>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smartTag w:uri="urn:schemas-microsoft-com:office:smarttags" w:element="PersonName">
      <w:r>
        <w:rPr>
          <w:rFonts w:cs="TopType Jerushalmi"/>
          <w:color w:val="000000"/>
          <w:sz w:val="28"/>
          <w:szCs w:val="22"/>
        </w:rPr>
        <w:t>nevo</w:t>
      </w:r>
    </w:smartTag>
    <w:r>
      <w:rPr>
        <w:rFonts w:cs="TopType Jerushalmi"/>
        <w:color w:val="000000"/>
        <w:sz w:val="28"/>
        <w:szCs w:val="22"/>
      </w:rPr>
      <w:t>.co.il</w:t>
    </w:r>
    <w:r>
      <w:rPr>
        <w:rFonts w:cs="TopType Jerushalmi"/>
        <w:color w:val="000000"/>
        <w:sz w:val="28"/>
        <w:szCs w:val="22"/>
        <w:rtl/>
      </w:rPr>
      <w:t xml:space="preserve">   המאגר המשפטי הישראלי</w:t>
    </w:r>
  </w:p>
  <w:p w:rsidR="006E1A1C" w:rsidRDefault="006E1A1C">
    <w:pPr>
      <w:pStyle w:val="Footer"/>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sidR="00B15D22">
        <w:rPr>
          <w:rFonts w:cs="TopType Jerushalmi"/>
          <w:noProof/>
          <w:color w:val="000000"/>
          <w:sz w:val="14"/>
          <w:szCs w:val="14"/>
        </w:rPr>
        <w:t>http://www.nevo.co.il/Psika_word/mechozi/m03011352-534.doc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1C" w:rsidRDefault="006E1A1C">
    <w:pPr>
      <w:pStyle w:val="Footer"/>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sidR="00B15D22">
      <w:rPr>
        <w:rFonts w:hAnsi="FrankRuehl" w:cs="FrankRuehl"/>
        <w:noProof/>
        <w:sz w:val="24"/>
        <w:rtl/>
      </w:rPr>
      <w:t>5</w:t>
    </w:r>
    <w:r>
      <w:rPr>
        <w:rFonts w:hAnsi="FrankRuehl" w:cs="FrankRuehl"/>
        <w:sz w:val="24"/>
        <w:rtl/>
      </w:rPr>
      <w:fldChar w:fldCharType="end"/>
    </w:r>
  </w:p>
  <w:p w:rsidR="006E1A1C" w:rsidRDefault="006E1A1C">
    <w:pPr>
      <w:pStyle w:val="Footer"/>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smartTag w:uri="urn:schemas-microsoft-com:office:smarttags" w:element="PersonName">
      <w:r>
        <w:rPr>
          <w:rFonts w:cs="TopType Jerushalmi"/>
          <w:color w:val="000000"/>
          <w:sz w:val="28"/>
          <w:szCs w:val="22"/>
        </w:rPr>
        <w:t>nevo</w:t>
      </w:r>
    </w:smartTag>
    <w:r>
      <w:rPr>
        <w:rFonts w:cs="TopType Jerushalmi"/>
        <w:color w:val="000000"/>
        <w:sz w:val="28"/>
        <w:szCs w:val="22"/>
      </w:rPr>
      <w:t>.co.il</w:t>
    </w:r>
    <w:r>
      <w:rPr>
        <w:rFonts w:cs="TopType Jerushalmi"/>
        <w:color w:val="000000"/>
        <w:sz w:val="28"/>
        <w:szCs w:val="22"/>
        <w:rtl/>
      </w:rPr>
      <w:t xml:space="preserve">   המאגר המשפטי הישראלי</w:t>
    </w:r>
  </w:p>
  <w:p w:rsidR="006E1A1C" w:rsidRDefault="006E1A1C">
    <w:pPr>
      <w:pStyle w:val="Footer"/>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sidR="00B15D22">
        <w:rPr>
          <w:rFonts w:cs="TopType Jerushalmi"/>
          <w:noProof/>
          <w:color w:val="000000"/>
          <w:sz w:val="14"/>
          <w:szCs w:val="14"/>
        </w:rPr>
        <w:t>http://www.nevo.co.il/Psika_word/mechozi/m03011352-534.doc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1C" w:rsidRDefault="006E1A1C">
      <w:r>
        <w:separator/>
      </w:r>
    </w:p>
  </w:footnote>
  <w:footnote w:type="continuationSeparator" w:id="0">
    <w:p w:rsidR="006E1A1C" w:rsidRDefault="006E1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1C" w:rsidRDefault="006E1A1C">
    <w:pPr>
      <w:pStyle w:val="Header"/>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בשא (חי') 11352/03</w:t>
    </w:r>
    <w:r>
      <w:rPr>
        <w:rFonts w:hAnsi="David"/>
        <w:color w:val="000000"/>
        <w:sz w:val="22"/>
        <w:szCs w:val="22"/>
        <w:rtl/>
      </w:rPr>
      <w:tab/>
      <w:t xml:space="preserve"> קנקדו בע"מ נ' גילה אבן - פז</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1C" w:rsidRDefault="006E1A1C">
    <w:pPr>
      <w:pStyle w:val="Header"/>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בשא (חי') 11352/03</w:t>
    </w:r>
    <w:r>
      <w:rPr>
        <w:rFonts w:hAnsi="David"/>
        <w:color w:val="000000"/>
        <w:sz w:val="22"/>
        <w:szCs w:val="22"/>
        <w:rtl/>
      </w:rPr>
      <w:tab/>
      <w:t xml:space="preserve"> קנקדו בע"מ נ' גילה אבן - פז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cVars>
    <w:docVar w:name="lastQuoteMode" w:val="application/vnd.openxmlformats-officedocument.wordprocessingml.webSettings+xmlH"/>
  </w:docVars>
  <w:rsids>
    <w:rsidRoot w:val="00531C3C"/>
    <w:rsid w:val="00531C3C"/>
    <w:rsid w:val="006E1A1C"/>
    <w:rsid w:val="007A5AAE"/>
    <w:rsid w:val="00B15D22"/>
    <w:rsid w:val="00F421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line="360" w:lineRule="auto"/>
      <w:jc w:val="both"/>
    </w:pPr>
    <w:rPr>
      <w:rFonts w:cs="David"/>
      <w:szCs w:val="24"/>
      <w:lang w:eastAsia="he-IL"/>
    </w:rPr>
  </w:style>
  <w:style w:type="paragraph" w:styleId="Heading1">
    <w:name w:val="heading 1"/>
    <w:basedOn w:val="Normal"/>
    <w:next w:val="Normal"/>
    <w:qFormat/>
    <w:pPr>
      <w:keepNext/>
      <w:jc w:val="center"/>
      <w:outlineLvl w:val="0"/>
    </w:pPr>
    <w:rPr>
      <w:b/>
      <w:bCs/>
      <w:sz w:val="32"/>
      <w:szCs w:val="32"/>
      <w:u w:val="single"/>
    </w:rPr>
  </w:style>
  <w:style w:type="paragraph" w:styleId="Heading2">
    <w:name w:val="heading 2"/>
    <w:basedOn w:val="Normal"/>
    <w:next w:val="Normal"/>
    <w:qFormat/>
    <w:pPr>
      <w:keepNext/>
      <w:snapToGrid w:val="0"/>
      <w:spacing w:before="240" w:after="60"/>
      <w:jc w:val="center"/>
      <w:outlineLvl w:val="1"/>
    </w:pPr>
    <w:rPr>
      <w:rFonts w:ascii="Arial"/>
      <w:b/>
      <w:bCs/>
      <w:sz w:val="24"/>
      <w:szCs w:val="28"/>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napToGrid w:val="0"/>
    </w:pPr>
  </w:style>
  <w:style w:type="paragraph" w:styleId="Footer">
    <w:name w:val="footer"/>
    <w:basedOn w:val="Normal"/>
    <w:pPr>
      <w:tabs>
        <w:tab w:val="center" w:pos="4153"/>
        <w:tab w:val="right" w:pos="8306"/>
      </w:tabs>
      <w:snapToGrid w:val="0"/>
    </w:pPr>
    <w:rPr>
      <w:sz w:val="22"/>
    </w:rPr>
  </w:style>
  <w:style w:type="paragraph" w:styleId="Normal0">
    <w:name w:val="Normal"/>
    <w:pPr>
      <w:bidi/>
      <w:snapToGrid w:val="0"/>
    </w:pPr>
    <w:rPr>
      <w:rFonts w:cs="David"/>
      <w:szCs w:val="24"/>
      <w:lang w:eastAsia="he-IL"/>
    </w:rPr>
  </w:style>
  <w:style w:type="paragraph" w:customStyle="1" w:styleId="a">
    <w:name w:val="שמות"/>
    <w:basedOn w:val="Normal"/>
    <w:pPr>
      <w:suppressLineNumbers/>
      <w:snapToGrid w:val="0"/>
    </w:pPr>
    <w:rPr>
      <w:b/>
      <w:bCs/>
      <w:sz w:val="22"/>
    </w:rPr>
  </w:style>
  <w:style w:type="paragraph" w:styleId="Signature">
    <w:name w:val="Signature"/>
    <w:basedOn w:val="Heading2"/>
    <w:pPr>
      <w:suppressLineNumbers/>
    </w:pPr>
    <w:rPr>
      <w:rFonts w:hAnsi="Arial"/>
      <w:bCs w:val="0"/>
      <w:szCs w:val="24"/>
    </w:rPr>
  </w:style>
  <w:style w:type="paragraph" w:customStyle="1" w:styleId="a0">
    <w:name w:val="החלטה"/>
    <w:basedOn w:val="Normal0"/>
    <w:pPr>
      <w:suppressLineNumbers/>
    </w:pPr>
    <w:rPr>
      <w:bCs/>
    </w:rPr>
  </w:style>
  <w:style w:type="paragraph" w:customStyle="1" w:styleId="a1">
    <w:name w:val="חקירה"/>
    <w:basedOn w:val="Normal0"/>
    <w:pPr>
      <w:suppressLineNumbers/>
    </w:pPr>
  </w:style>
  <w:style w:type="character" w:styleId="PageNumber">
    <w:name w:val="page number"/>
    <w:basedOn w:val="DefaultParagraphFont"/>
    <w:rPr>
      <w:rFonts w:cs="David"/>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Psika_word/mechozi/m03000461-267.do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vo.co.il/Psika_word/mechozi/m05009162-273.doc"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vo.co.il/Psika_word/mechozi/m04001302-35.doc"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evo.co.il/Psika_word/mechozi/ME-03-461-604.doc" TargetMode="External"/><Relationship Id="rId4" Type="http://schemas.openxmlformats.org/officeDocument/2006/relationships/footnotes" Target="footnotes.xml"/><Relationship Id="rId9" Type="http://schemas.openxmlformats.org/officeDocument/2006/relationships/hyperlink" Target="http://www.nevo.co.il/Psika_word/mechozi/m03000461-38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7453</Characters>
  <Application>Microsoft Office Word</Application>
  <DocSecurity>4</DocSecurity>
  <Lines>62</Lines>
  <Paragraphs>17</Paragraphs>
  <ScaleCrop>false</ScaleCrop>
  <HeadingPairs>
    <vt:vector size="2" baseType="variant">
      <vt:variant>
        <vt:lpstr>שם</vt:lpstr>
      </vt:variant>
      <vt:variant>
        <vt:i4>1</vt:i4>
      </vt:variant>
    </vt:vector>
  </HeadingPairs>
  <TitlesOfParts>
    <vt:vector size="1" baseType="lpstr">
      <vt:lpstr> </vt:lpstr>
    </vt:vector>
  </TitlesOfParts>
  <Company/>
  <LinksUpToDate>false</LinksUpToDate>
  <CharactersWithSpaces>8926</CharactersWithSpaces>
  <SharedDoc>false</SharedDoc>
  <HLinks>
    <vt:vector size="30" baseType="variant">
      <vt:variant>
        <vt:i4>196707</vt:i4>
      </vt:variant>
      <vt:variant>
        <vt:i4>12</vt:i4>
      </vt:variant>
      <vt:variant>
        <vt:i4>0</vt:i4>
      </vt:variant>
      <vt:variant>
        <vt:i4>5</vt:i4>
      </vt:variant>
      <vt:variant>
        <vt:lpwstr>http://www.nevo.co.il/Psika_word/mechozi/ME-03-461-604.doc</vt:lpwstr>
      </vt:variant>
      <vt:variant>
        <vt:lpwstr/>
      </vt:variant>
      <vt:variant>
        <vt:i4>1703971</vt:i4>
      </vt:variant>
      <vt:variant>
        <vt:i4>9</vt:i4>
      </vt:variant>
      <vt:variant>
        <vt:i4>0</vt:i4>
      </vt:variant>
      <vt:variant>
        <vt:i4>5</vt:i4>
      </vt:variant>
      <vt:variant>
        <vt:lpwstr>http://www.nevo.co.il/Psika_word/mechozi/m03000461-385.doc</vt:lpwstr>
      </vt:variant>
      <vt:variant>
        <vt:lpwstr/>
      </vt:variant>
      <vt:variant>
        <vt:i4>1638445</vt:i4>
      </vt:variant>
      <vt:variant>
        <vt:i4>6</vt:i4>
      </vt:variant>
      <vt:variant>
        <vt:i4>0</vt:i4>
      </vt:variant>
      <vt:variant>
        <vt:i4>5</vt:i4>
      </vt:variant>
      <vt:variant>
        <vt:lpwstr>http://www.nevo.co.il/Psika_word/mechozi/m03000461-267.doc</vt:lpwstr>
      </vt:variant>
      <vt:variant>
        <vt:lpwstr/>
      </vt:variant>
      <vt:variant>
        <vt:i4>1900581</vt:i4>
      </vt:variant>
      <vt:variant>
        <vt:i4>3</vt:i4>
      </vt:variant>
      <vt:variant>
        <vt:i4>0</vt:i4>
      </vt:variant>
      <vt:variant>
        <vt:i4>5</vt:i4>
      </vt:variant>
      <vt:variant>
        <vt:lpwstr>http://www.nevo.co.il/Psika_word/mechozi/m05009162-273.doc</vt:lpwstr>
      </vt:variant>
      <vt:variant>
        <vt:lpwstr/>
      </vt:variant>
      <vt:variant>
        <vt:i4>6946828</vt:i4>
      </vt:variant>
      <vt:variant>
        <vt:i4>0</vt:i4>
      </vt:variant>
      <vt:variant>
        <vt:i4>0</vt:i4>
      </vt:variant>
      <vt:variant>
        <vt:i4>5</vt:i4>
      </vt:variant>
      <vt:variant>
        <vt:lpwstr>http://www.nevo.co.il/Psika_word/mechozi/m04001302-35.doc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effifuks</dc:creator>
  <cp:lastModifiedBy>Effi Fuks</cp:lastModifiedBy>
  <cp:revision>2</cp:revision>
  <cp:lastPrinted>2009-10-11T18:38:00Z</cp:lastPrinted>
  <dcterms:created xsi:type="dcterms:W3CDTF">2009-10-11T18:39:00Z</dcterms:created>
  <dcterms:modified xsi:type="dcterms:W3CDTF">2009-10-11T18:39:00Z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2</vt:lpwstr>
  </property>
  <property fmtid="{D5CDD505-2E9C-101B-9397-08002B2CF9AE}" pid="3" name="PSAKDIN">
    <vt:lpwstr>החלטה</vt:lpwstr>
  </property>
  <property fmtid="{D5CDD505-2E9C-101B-9397-08002B2CF9AE}" pid="4" name="PROCESS">
    <vt:lpwstr>בשא;תא</vt:lpwstr>
  </property>
  <property fmtid="{D5CDD505-2E9C-101B-9397-08002B2CF9AE}" pid="5" name="PROCNUM">
    <vt:lpwstr>11352;461</vt:lpwstr>
  </property>
  <property fmtid="{D5CDD505-2E9C-101B-9397-08002B2CF9AE}" pid="6" name="PROCYEAR">
    <vt:lpwstr>03;03</vt:lpwstr>
  </property>
  <property fmtid="{D5CDD505-2E9C-101B-9397-08002B2CF9AE}" pid="7" name="APPELLANT">
    <vt:lpwstr>קנקדו בע#מ</vt:lpwstr>
  </property>
  <property fmtid="{D5CDD505-2E9C-101B-9397-08002B2CF9AE}" pid="8" name="APPELLEE">
    <vt:lpwstr>גילה אבן פז;נטע אבן פז;לילך אבן פז;נעמה אבן פז;זיוה אבן פז</vt:lpwstr>
  </property>
  <property fmtid="{D5CDD505-2E9C-101B-9397-08002B2CF9AE}" pid="9" name="LAWYER">
    <vt:lpwstr>גרוס;רחבי</vt:lpwstr>
  </property>
  <property fmtid="{D5CDD505-2E9C-101B-9397-08002B2CF9AE}" pid="10" name="JUDGE">
    <vt:lpwstr>רון סוקול</vt:lpwstr>
  </property>
  <property fmtid="{D5CDD505-2E9C-101B-9397-08002B2CF9AE}" pid="11" name="CITY">
    <vt:lpwstr>חי'</vt:lpwstr>
  </property>
  <property fmtid="{D5CDD505-2E9C-101B-9397-08002B2CF9AE}" pid="12" name="DATE">
    <vt:lpwstr>20031119</vt:lpwstr>
  </property>
  <property fmtid="{D5CDD505-2E9C-101B-9397-08002B2CF9AE}" pid="13" name="WORDNUMPAGES">
    <vt:lpwstr>5</vt:lpwstr>
  </property>
  <property fmtid="{D5CDD505-2E9C-101B-9397-08002B2CF9AE}" pid="14" name="VOLUME">
    <vt:lpwstr/>
  </property>
  <property fmtid="{D5CDD505-2E9C-101B-9397-08002B2CF9AE}" pid="15" name="PART">
    <vt:lpwstr/>
  </property>
  <property fmtid="{D5CDD505-2E9C-101B-9397-08002B2CF9AE}" pid="16" name="PAGE">
    <vt:lpwstr/>
  </property>
  <property fmtid="{D5CDD505-2E9C-101B-9397-08002B2CF9AE}" pid="17" name="PADIMAIL">
    <vt:lpwstr/>
  </property>
  <property fmtid="{D5CDD505-2E9C-101B-9397-08002B2CF9AE}" pid="18" name="LINKK1">
    <vt:lpwstr>http://www.nevo.co.il/Psika_word/mechozi/m04001302-35.doc;להחלטה במחוזי (16-04-2004)#בשא 1302/04 אבן - פז גילה נ' קנדקו בע"מ#שופטים: רון סוקול#עו''ד:  א. רחבי, י.גרוס</vt:lpwstr>
  </property>
  <property fmtid="{D5CDD505-2E9C-101B-9397-08002B2CF9AE}" pid="19" name="LINKK2">
    <vt:lpwstr>http://www.nevo.co.il/Psika_word/mechozi/m05009162-273.doc;להחלטה במחוזי (01-01-2006)#בשא 9162/05 קנדקו בע"מ נ' אבן - פז גילה#שופטים: יעל וילנר#עו''ד: ע. ברק, אופיר רחבי, שלום בנישו</vt:lpwstr>
  </property>
  <property fmtid="{D5CDD505-2E9C-101B-9397-08002B2CF9AE}" pid="20" name="LINKK3">
    <vt:lpwstr>http://www.nevo.co.il/Psika_word/mechozi/m03000461-267.doc;להחלטה במחוזי (08-08-2007)#תא 461/03 קנדקו בע"מ נ' גילה אבן פז#שופטים: עודד גרשון#עו''ד: עוזי ברק, רחבי אופיר</vt:lpwstr>
  </property>
  <property fmtid="{D5CDD505-2E9C-101B-9397-08002B2CF9AE}" pid="21" name="LINKK4">
    <vt:lpwstr>http://www.nevo.co.il/Psika_word/mechozi/m03000461-385.doc;להחלטה במחוזי (18-10-2007)#תא 461/03 קנדקו בע"מ נ' גילה אבן פז#שופטים: עודד גרשון#עו''ד: עוזי ברק, רחבי אופיר</vt:lpwstr>
  </property>
  <property fmtid="{D5CDD505-2E9C-101B-9397-08002B2CF9AE}" pid="22" name="LINKK5">
    <vt:lpwstr>http://www.nevo.co.il/Psika_word/mechozi/ME-03-461-604.doc;להחלטה במחוזי (23-08-2009)#תא 461--03 קנדקו בע"מ נ' גילה אבן-פז#שופטים: עודד גרשון#עו''ד: עוזי ברק, רחבי אופיר</vt:lpwstr>
  </property>
  <property fmtid="{D5CDD505-2E9C-101B-9397-08002B2CF9AE}" pid="23" name="LINKK6">
    <vt:lpwstr/>
  </property>
  <property fmtid="{D5CDD505-2E9C-101B-9397-08002B2CF9AE}" pid="24" name="LINKK7">
    <vt:lpwstr/>
  </property>
  <property fmtid="{D5CDD505-2E9C-101B-9397-08002B2CF9AE}" pid="25" name="LINKK8">
    <vt:lpwstr/>
  </property>
  <property fmtid="{D5CDD505-2E9C-101B-9397-08002B2CF9AE}" pid="26" name="LINKK9">
    <vt:lpwstr/>
  </property>
  <property fmtid="{D5CDD505-2E9C-101B-9397-08002B2CF9AE}" pid="27" name="LINKI1">
    <vt:lpwstr/>
  </property>
  <property fmtid="{D5CDD505-2E9C-101B-9397-08002B2CF9AE}" pid="28" name="LINKI2">
    <vt:lpwstr/>
  </property>
  <property fmtid="{D5CDD505-2E9C-101B-9397-08002B2CF9AE}" pid="29" name="LINKI3">
    <vt:lpwstr/>
  </property>
  <property fmtid="{D5CDD505-2E9C-101B-9397-08002B2CF9AE}" pid="30" name="DELEMATA">
    <vt:lpwstr/>
  </property>
  <property fmtid="{D5CDD505-2E9C-101B-9397-08002B2CF9AE}" pid="31" name="ISABSTRACT">
    <vt:lpwstr>Y</vt:lpwstr>
  </property>
  <property fmtid="{D5CDD505-2E9C-101B-9397-08002B2CF9AE}" pid="32" name="TYPE_N_DATE">
    <vt:lpwstr>39020031119</vt:lpwstr>
  </property>
  <property fmtid="{D5CDD505-2E9C-101B-9397-08002B2CF9AE}" pid="33" name="TYPE_ABS_DATE">
    <vt:lpwstr>390020031119</vt:lpwstr>
  </property>
  <property fmtid="{D5CDD505-2E9C-101B-9397-08002B2CF9AE}" pid="34" name="LINKK10">
    <vt:lpwstr/>
  </property>
  <property fmtid="{D5CDD505-2E9C-101B-9397-08002B2CF9AE}" pid="35" name="LINKK11">
    <vt:lpwstr/>
  </property>
  <property fmtid="{D5CDD505-2E9C-101B-9397-08002B2CF9AE}" pid="36" name="LINKK12">
    <vt:lpwstr/>
  </property>
  <property fmtid="{D5CDD505-2E9C-101B-9397-08002B2CF9AE}" pid="37" name="NEWPROC">
    <vt:lpwstr/>
  </property>
  <property fmtid="{D5CDD505-2E9C-101B-9397-08002B2CF9AE}" pid="38" name="NEWPARTA">
    <vt:lpwstr/>
  </property>
  <property fmtid="{D5CDD505-2E9C-101B-9397-08002B2CF9AE}" pid="39" name="NEWPARTB">
    <vt:lpwstr/>
  </property>
  <property fmtid="{D5CDD505-2E9C-101B-9397-08002B2CF9AE}" pid="40" name="NEWPARTC">
    <vt:lpwstr/>
  </property>
</Properties>
</file>